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  <w:highlight w:val="yellow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</w:rPr>
        <w:t>季度）</w:t>
      </w:r>
    </w:p>
    <w:bookmarkEnd w:id="0"/>
    <w:tbl>
      <w:tblPr>
        <w:tblStyle w:val="6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扎实做好第五次全国经济普查工作。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统计局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按照全市第五次全国经济普查工作的总体安排，完成了区级普查数据的采集上报工作，并按照国家和市经普办要求对上报数据开展审核验收工作；顺利通过了市级数据质量检查；区经普办及时对上报数据进行了初步汇总，并结合四经普数据分行业、分领域开展了评估、分析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，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形成初步汇总结果。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left="1690" w:leftChars="805" w:right="14" w:rightChars="7"/>
        <w:rPr>
          <w:rFonts w:eastAsia="仿宋_GB2312"/>
          <w:sz w:val="32"/>
          <w:szCs w:val="32"/>
        </w:rPr>
      </w:pPr>
    </w:p>
    <w:p/>
    <w:sectPr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45889"/>
    <w:rsid w:val="1BD4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2024-10-14T02:36:00Z</dcterms:created>
  <dc:creator>Yinxiaodan</dc:creator>
  <cp:lastModifiedBy>Yinxiaodan</cp:lastModifiedBy>
  <dcterms:modified xsi:type="dcterms:W3CDTF">2024-10-14T02:36:46Z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