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A6871E" w14:textId="77777777" w:rsidR="00F952A6" w:rsidRDefault="00000000">
      <w:pPr>
        <w:widowControl/>
        <w:spacing w:line="480" w:lineRule="auto"/>
        <w:jc w:val="center"/>
        <w:rPr>
          <w:rFonts w:asciiTheme="minorEastAsia" w:eastAsiaTheme="minorEastAsia" w:hAnsiTheme="minorEastAsia"/>
          <w:b/>
          <w:bCs/>
          <w:spacing w:val="15"/>
          <w:sz w:val="44"/>
          <w:szCs w:val="44"/>
        </w:rPr>
      </w:pPr>
      <w:r>
        <w:rPr>
          <w:rFonts w:asciiTheme="minorEastAsia" w:eastAsiaTheme="minorEastAsia" w:hAnsiTheme="minorEastAsia" w:hint="eastAsia"/>
          <w:b/>
          <w:bCs/>
          <w:spacing w:val="15"/>
          <w:sz w:val="44"/>
          <w:szCs w:val="44"/>
        </w:rPr>
        <w:t>2023年1-6月朝阳区固定资产投资</w:t>
      </w:r>
    </w:p>
    <w:p w14:paraId="489A38E1" w14:textId="77777777" w:rsidR="00F952A6" w:rsidRDefault="00000000">
      <w:pPr>
        <w:widowControl/>
        <w:spacing w:line="480" w:lineRule="auto"/>
        <w:jc w:val="center"/>
        <w:rPr>
          <w:rFonts w:asciiTheme="minorEastAsia" w:eastAsiaTheme="minorEastAsia" w:hAnsiTheme="minorEastAsia"/>
          <w:b/>
          <w:bCs/>
          <w:spacing w:val="15"/>
          <w:sz w:val="44"/>
          <w:szCs w:val="44"/>
        </w:rPr>
      </w:pPr>
      <w:r>
        <w:rPr>
          <w:rFonts w:asciiTheme="minorEastAsia" w:eastAsiaTheme="minorEastAsia" w:hAnsiTheme="minorEastAsia" w:hint="eastAsia"/>
          <w:b/>
          <w:bCs/>
          <w:spacing w:val="15"/>
          <w:sz w:val="44"/>
          <w:szCs w:val="44"/>
        </w:rPr>
        <w:t>（不含农户）同比增长15.1%</w:t>
      </w:r>
    </w:p>
    <w:p w14:paraId="5F84E54E" w14:textId="77777777" w:rsidR="00F952A6" w:rsidRDefault="00F952A6">
      <w:pPr>
        <w:widowControl/>
        <w:spacing w:line="480" w:lineRule="auto"/>
        <w:ind w:firstLineChars="200" w:firstLine="620"/>
        <w:rPr>
          <w:rFonts w:asciiTheme="minorEastAsia" w:eastAsiaTheme="minorEastAsia" w:hAnsiTheme="minorEastAsia"/>
          <w:bCs/>
          <w:spacing w:val="15"/>
          <w:sz w:val="28"/>
          <w:szCs w:val="28"/>
        </w:rPr>
      </w:pPr>
    </w:p>
    <w:p w14:paraId="085DCBD0" w14:textId="77777777" w:rsidR="00F952A6" w:rsidRDefault="00000000">
      <w:pPr>
        <w:spacing w:line="480" w:lineRule="auto"/>
        <w:ind w:firstLineChars="200" w:firstLine="560"/>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2023年1-6月，朝阳区固定资产投资（不含农户）同比增长15.1%,其中，房地产开发投资同比增长20.5%。</w:t>
      </w:r>
    </w:p>
    <w:p w14:paraId="1160A250" w14:textId="77777777" w:rsidR="00F952A6" w:rsidRDefault="00000000">
      <w:pPr>
        <w:widowControl/>
        <w:spacing w:line="480" w:lineRule="auto"/>
        <w:ind w:firstLineChars="200" w:firstLine="560"/>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1-6月，朝阳区建安投资同比增长8.7%，增速较1-5月回落1.3个百分点。</w:t>
      </w:r>
    </w:p>
    <w:p w14:paraId="433F8FEF" w14:textId="77777777" w:rsidR="00F952A6" w:rsidRDefault="00000000">
      <w:pPr>
        <w:widowControl/>
        <w:spacing w:line="480" w:lineRule="auto"/>
        <w:ind w:firstLineChars="200" w:firstLine="560"/>
        <w:rPr>
          <w:rFonts w:asciiTheme="minorEastAsia" w:eastAsiaTheme="minorEastAsia" w:hAnsiTheme="minorEastAsia" w:cs="宋体"/>
          <w:kern w:val="0"/>
          <w:sz w:val="28"/>
          <w:szCs w:val="28"/>
        </w:rPr>
      </w:pPr>
      <w:r>
        <w:rPr>
          <w:rFonts w:asciiTheme="minorEastAsia" w:eastAsiaTheme="minorEastAsia" w:hAnsiTheme="minorEastAsia" w:cs="宋体" w:hint="eastAsia"/>
          <w:kern w:val="0"/>
          <w:sz w:val="28"/>
          <w:szCs w:val="28"/>
        </w:rPr>
        <w:t>1-6月，朝阳区民间固定资产投资同比增长15.8%，增速较1-5月增长13.5个百分点。</w:t>
      </w:r>
    </w:p>
    <w:p w14:paraId="7881987D" w14:textId="77777777" w:rsidR="00F952A6" w:rsidRDefault="00000000">
      <w:pPr>
        <w:widowControl/>
        <w:spacing w:line="300" w:lineRule="atLeast"/>
        <w:jc w:val="center"/>
        <w:rPr>
          <w:rFonts w:ascii="宋体" w:hAnsi="宋体" w:cs="宋体"/>
          <w:b/>
          <w:bCs/>
          <w:kern w:val="0"/>
          <w:sz w:val="28"/>
          <w:szCs w:val="28"/>
        </w:rPr>
      </w:pPr>
      <w:r>
        <w:rPr>
          <w:rFonts w:ascii="宋体" w:hAnsi="宋体" w:cs="宋体" w:hint="eastAsia"/>
          <w:b/>
          <w:bCs/>
          <w:kern w:val="0"/>
          <w:sz w:val="28"/>
          <w:szCs w:val="28"/>
        </w:rPr>
        <w:t>图　2022年1-2月至2023年1-6月朝阳区固定资产投资</w:t>
      </w:r>
    </w:p>
    <w:p w14:paraId="1EC3FD5B" w14:textId="77777777" w:rsidR="00F952A6" w:rsidRDefault="00000000">
      <w:pPr>
        <w:widowControl/>
        <w:spacing w:line="300" w:lineRule="atLeast"/>
        <w:jc w:val="center"/>
        <w:rPr>
          <w:rFonts w:ascii="宋体" w:hAnsi="宋体" w:cs="宋体"/>
          <w:b/>
          <w:bCs/>
          <w:kern w:val="0"/>
          <w:sz w:val="28"/>
          <w:szCs w:val="28"/>
        </w:rPr>
      </w:pPr>
      <w:r>
        <w:rPr>
          <w:rFonts w:ascii="宋体" w:hAnsi="宋体" w:cs="宋体" w:hint="eastAsia"/>
          <w:b/>
          <w:bCs/>
          <w:kern w:val="0"/>
          <w:sz w:val="28"/>
          <w:szCs w:val="28"/>
        </w:rPr>
        <w:t>（不含农户）增速情况</w:t>
      </w:r>
    </w:p>
    <w:p w14:paraId="5FDB4EF8" w14:textId="77777777" w:rsidR="00F952A6" w:rsidRDefault="00000000">
      <w:pPr>
        <w:widowControl/>
        <w:spacing w:line="300" w:lineRule="atLeast"/>
        <w:jc w:val="right"/>
        <w:rPr>
          <w:rFonts w:ascii="宋体" w:hAnsi="宋体" w:cs="宋体"/>
          <w:kern w:val="0"/>
          <w:szCs w:val="21"/>
        </w:rPr>
      </w:pPr>
      <w:r>
        <w:rPr>
          <w:rFonts w:ascii="宋体" w:hAnsi="宋体" w:cs="宋体" w:hint="eastAsia"/>
          <w:kern w:val="0"/>
          <w:szCs w:val="21"/>
        </w:rPr>
        <w:t>单位：%</w:t>
      </w:r>
    </w:p>
    <w:p w14:paraId="7B7161CC" w14:textId="77777777" w:rsidR="00F952A6" w:rsidRDefault="00000000">
      <w:pPr>
        <w:spacing w:line="480" w:lineRule="auto"/>
      </w:pPr>
      <w:r>
        <w:rPr>
          <w:noProof/>
        </w:rPr>
        <w:drawing>
          <wp:inline distT="0" distB="0" distL="0" distR="0" wp14:anchorId="00B4E06C" wp14:editId="36124D20">
            <wp:extent cx="5274310" cy="3085465"/>
            <wp:effectExtent l="0" t="0" r="2540" b="635"/>
            <wp:docPr id="851716147" name="图表 1"/>
            <wp:cNvGraphicFramePr/>
            <a:graphic xmlns:a="http://schemas.openxmlformats.org/drawingml/2006/main">
              <a:graphicData uri="http://schemas.openxmlformats.org/drawingml/2006/chart">
                <c:chart xmlns:c="http://schemas.openxmlformats.org/drawingml/2006/chart" xmlns:r="http://schemas.openxmlformats.org/officeDocument/2006/relationships" r:id="rId5"/>
              </a:graphicData>
            </a:graphic>
          </wp:inline>
        </w:drawing>
      </w:r>
    </w:p>
    <w:p w14:paraId="47C1C9EB" w14:textId="77777777" w:rsidR="00F952A6" w:rsidRDefault="00F952A6">
      <w:pPr>
        <w:spacing w:line="480" w:lineRule="auto"/>
      </w:pPr>
    </w:p>
    <w:p w14:paraId="706C0B1E" w14:textId="77777777" w:rsidR="00F952A6" w:rsidRDefault="00F952A6">
      <w:pPr>
        <w:spacing w:line="480" w:lineRule="auto"/>
      </w:pPr>
    </w:p>
    <w:p w14:paraId="7BF37A6D" w14:textId="77777777" w:rsidR="00F952A6" w:rsidRDefault="00F952A6">
      <w:pPr>
        <w:spacing w:line="480" w:lineRule="auto"/>
      </w:pPr>
    </w:p>
    <w:p w14:paraId="46ACA39B" w14:textId="77777777" w:rsidR="00F952A6" w:rsidRDefault="00000000">
      <w:pPr>
        <w:spacing w:line="480" w:lineRule="auto"/>
        <w:ind w:firstLineChars="200" w:firstLine="562"/>
        <w:rPr>
          <w:rFonts w:ascii="宋体" w:hAnsi="宋体" w:cs="宋体"/>
          <w:b/>
          <w:bCs/>
          <w:kern w:val="0"/>
          <w:szCs w:val="21"/>
        </w:rPr>
      </w:pPr>
      <w:r>
        <w:rPr>
          <w:rFonts w:ascii="宋体" w:hAnsi="宋体" w:cs="宋体" w:hint="eastAsia"/>
          <w:b/>
          <w:bCs/>
          <w:kern w:val="0"/>
          <w:sz w:val="28"/>
          <w:szCs w:val="28"/>
        </w:rPr>
        <w:lastRenderedPageBreak/>
        <w:t>附注：</w:t>
      </w:r>
    </w:p>
    <w:p w14:paraId="680D3C76" w14:textId="77777777" w:rsidR="00F952A6" w:rsidRDefault="00000000">
      <w:pPr>
        <w:spacing w:line="480" w:lineRule="auto"/>
        <w:ind w:firstLineChars="200" w:firstLine="562"/>
        <w:rPr>
          <w:rFonts w:ascii="宋体" w:hAnsi="宋体"/>
          <w:b/>
          <w:bCs/>
          <w:sz w:val="28"/>
          <w:szCs w:val="28"/>
        </w:rPr>
      </w:pPr>
      <w:r>
        <w:rPr>
          <w:rFonts w:ascii="宋体" w:hAnsi="宋体" w:hint="eastAsia"/>
          <w:b/>
          <w:bCs/>
          <w:sz w:val="28"/>
          <w:szCs w:val="28"/>
        </w:rPr>
        <w:t>一、统计范围</w:t>
      </w:r>
    </w:p>
    <w:p w14:paraId="5ED55BD3" w14:textId="77777777" w:rsidR="00F952A6" w:rsidRDefault="00000000">
      <w:pPr>
        <w:spacing w:line="480" w:lineRule="auto"/>
        <w:ind w:firstLineChars="200" w:firstLine="560"/>
        <w:rPr>
          <w:rFonts w:ascii="宋体" w:hAnsi="宋体"/>
          <w:sz w:val="28"/>
          <w:szCs w:val="28"/>
        </w:rPr>
      </w:pPr>
      <w:r>
        <w:rPr>
          <w:rFonts w:ascii="宋体" w:hAnsi="宋体" w:hint="eastAsia"/>
          <w:sz w:val="28"/>
          <w:szCs w:val="28"/>
        </w:rPr>
        <w:t>计划总投资500万元及以上固定资产投资项目的各种登记注册类型的单位及个体经营户、辖区内有开发经营活动的全部房地产开发经营业法人单位、有固定资产投资的农村非住户。</w:t>
      </w:r>
    </w:p>
    <w:p w14:paraId="3A308924" w14:textId="77777777" w:rsidR="00F952A6" w:rsidRDefault="00000000">
      <w:pPr>
        <w:spacing w:line="480" w:lineRule="auto"/>
        <w:ind w:firstLineChars="200" w:firstLine="562"/>
        <w:rPr>
          <w:rFonts w:ascii="宋体" w:hAnsi="宋体"/>
          <w:sz w:val="28"/>
          <w:szCs w:val="28"/>
        </w:rPr>
      </w:pPr>
      <w:r>
        <w:rPr>
          <w:rFonts w:ascii="宋体" w:hAnsi="宋体" w:hint="eastAsia"/>
          <w:b/>
          <w:bCs/>
          <w:sz w:val="28"/>
          <w:szCs w:val="28"/>
        </w:rPr>
        <w:t>二、采集渠道</w:t>
      </w:r>
    </w:p>
    <w:p w14:paraId="7309FB99" w14:textId="77777777" w:rsidR="00F952A6" w:rsidRDefault="00000000">
      <w:pPr>
        <w:spacing w:line="480" w:lineRule="auto"/>
        <w:ind w:firstLineChars="200" w:firstLine="560"/>
        <w:rPr>
          <w:rFonts w:ascii="宋体" w:hAnsi="宋体"/>
          <w:sz w:val="28"/>
          <w:szCs w:val="28"/>
        </w:rPr>
      </w:pPr>
      <w:r>
        <w:rPr>
          <w:rFonts w:ascii="宋体" w:hAnsi="宋体" w:hint="eastAsia"/>
          <w:sz w:val="28"/>
          <w:szCs w:val="28"/>
        </w:rPr>
        <w:t>符合统计范围的固定资产投资项目单位按照《固定资产投资统计报表制度》、《房地产开发统计报表制度》的要求，通过统计联网直报平台上报统计数据。</w:t>
      </w:r>
    </w:p>
    <w:p w14:paraId="61060E65" w14:textId="77777777" w:rsidR="00F952A6" w:rsidRDefault="00000000">
      <w:pPr>
        <w:spacing w:line="480" w:lineRule="auto"/>
        <w:ind w:firstLineChars="200" w:firstLine="562"/>
        <w:rPr>
          <w:rFonts w:ascii="宋体" w:hAnsi="宋体"/>
          <w:b/>
          <w:bCs/>
          <w:sz w:val="28"/>
          <w:szCs w:val="28"/>
        </w:rPr>
      </w:pPr>
      <w:r>
        <w:rPr>
          <w:rFonts w:ascii="宋体" w:hAnsi="宋体" w:hint="eastAsia"/>
          <w:b/>
          <w:bCs/>
          <w:sz w:val="28"/>
          <w:szCs w:val="28"/>
        </w:rPr>
        <w:t>三、指标解释</w:t>
      </w:r>
    </w:p>
    <w:p w14:paraId="40633599" w14:textId="77777777" w:rsidR="00F952A6" w:rsidRDefault="00000000">
      <w:pPr>
        <w:spacing w:line="480" w:lineRule="auto"/>
        <w:ind w:firstLineChars="200" w:firstLine="562"/>
        <w:rPr>
          <w:rFonts w:ascii="宋体" w:hAnsi="宋体"/>
          <w:sz w:val="28"/>
          <w:szCs w:val="28"/>
        </w:rPr>
      </w:pPr>
      <w:r>
        <w:rPr>
          <w:rFonts w:ascii="宋体" w:hAnsi="宋体" w:hint="eastAsia"/>
          <w:b/>
          <w:sz w:val="28"/>
          <w:szCs w:val="28"/>
        </w:rPr>
        <w:t>固定资产投资：</w:t>
      </w:r>
      <w:r>
        <w:rPr>
          <w:rFonts w:ascii="宋体" w:hAnsi="宋体" w:hint="eastAsia"/>
          <w:sz w:val="28"/>
          <w:szCs w:val="28"/>
        </w:rPr>
        <w:t>是以货币形式表现的在一定时期内完成的建造和购置固定资产的工作量以及与此有关的费用的总称。</w:t>
      </w:r>
    </w:p>
    <w:p w14:paraId="390C008E" w14:textId="77777777" w:rsidR="00F952A6" w:rsidRDefault="00000000">
      <w:pPr>
        <w:spacing w:line="480" w:lineRule="auto"/>
        <w:ind w:firstLineChars="200" w:firstLine="562"/>
        <w:rPr>
          <w:rFonts w:ascii="宋体" w:hAnsi="宋体"/>
          <w:sz w:val="28"/>
          <w:szCs w:val="28"/>
        </w:rPr>
      </w:pPr>
      <w:r>
        <w:rPr>
          <w:rFonts w:ascii="宋体" w:hAnsi="宋体" w:hint="eastAsia"/>
          <w:b/>
          <w:sz w:val="28"/>
          <w:szCs w:val="28"/>
        </w:rPr>
        <w:t>房地产开发投资：</w:t>
      </w:r>
      <w:r>
        <w:rPr>
          <w:rFonts w:ascii="宋体" w:hAnsi="宋体" w:hint="eastAsia"/>
          <w:sz w:val="28"/>
          <w:szCs w:val="28"/>
        </w:rPr>
        <w:t>指从本年１月１日起</w:t>
      </w:r>
      <w:proofErr w:type="gramStart"/>
      <w:r>
        <w:rPr>
          <w:rFonts w:ascii="宋体" w:hAnsi="宋体" w:hint="eastAsia"/>
          <w:sz w:val="28"/>
          <w:szCs w:val="28"/>
        </w:rPr>
        <w:t>至报告期末止</w:t>
      </w:r>
      <w:proofErr w:type="gramEnd"/>
      <w:r>
        <w:rPr>
          <w:rFonts w:ascii="宋体" w:hAnsi="宋体" w:hint="eastAsia"/>
          <w:sz w:val="28"/>
          <w:szCs w:val="28"/>
        </w:rPr>
        <w:t>完成的全部用于房屋建设工程和土地开发工程的投资额以及公益性建筑和土地购置费等的投资。</w:t>
      </w:r>
    </w:p>
    <w:p w14:paraId="1C7E167D" w14:textId="77777777" w:rsidR="00F952A6" w:rsidRDefault="00000000">
      <w:pPr>
        <w:spacing w:line="480" w:lineRule="auto"/>
        <w:ind w:firstLineChars="200" w:firstLine="562"/>
        <w:rPr>
          <w:rFonts w:ascii="宋体" w:hAnsi="宋体"/>
          <w:sz w:val="28"/>
          <w:szCs w:val="28"/>
        </w:rPr>
      </w:pPr>
      <w:r>
        <w:rPr>
          <w:rFonts w:ascii="宋体" w:hAnsi="宋体" w:hint="eastAsia"/>
          <w:b/>
          <w:sz w:val="28"/>
          <w:szCs w:val="28"/>
        </w:rPr>
        <w:t>建安投资：</w:t>
      </w:r>
      <w:r>
        <w:rPr>
          <w:rFonts w:ascii="宋体" w:hAnsi="宋体" w:hint="eastAsia"/>
          <w:sz w:val="28"/>
          <w:szCs w:val="28"/>
        </w:rPr>
        <w:t>指固定资产投资项目从本年１月１日起</w:t>
      </w:r>
      <w:proofErr w:type="gramStart"/>
      <w:r>
        <w:rPr>
          <w:rFonts w:ascii="宋体" w:hAnsi="宋体" w:hint="eastAsia"/>
          <w:sz w:val="28"/>
          <w:szCs w:val="28"/>
        </w:rPr>
        <w:t>至报告期末止</w:t>
      </w:r>
      <w:proofErr w:type="gramEnd"/>
      <w:r>
        <w:rPr>
          <w:rFonts w:ascii="宋体" w:hAnsi="宋体" w:hint="eastAsia"/>
          <w:sz w:val="28"/>
          <w:szCs w:val="28"/>
        </w:rPr>
        <w:t>实际完成的建筑安装工程价值，是以货币表示的工作量。建筑安装工程包括建筑工程和安装工程。</w:t>
      </w:r>
    </w:p>
    <w:p w14:paraId="2C317727" w14:textId="77777777" w:rsidR="00F952A6" w:rsidRDefault="00000000">
      <w:pPr>
        <w:spacing w:line="480" w:lineRule="auto"/>
        <w:ind w:firstLineChars="200" w:firstLine="562"/>
        <w:rPr>
          <w:rFonts w:ascii="宋体" w:hAnsi="宋体"/>
          <w:sz w:val="28"/>
          <w:szCs w:val="28"/>
        </w:rPr>
      </w:pPr>
      <w:r>
        <w:rPr>
          <w:rFonts w:ascii="宋体" w:hAnsi="宋体" w:hint="eastAsia"/>
          <w:b/>
          <w:sz w:val="28"/>
          <w:szCs w:val="28"/>
        </w:rPr>
        <w:t>民间固定资产投资：</w:t>
      </w:r>
      <w:r>
        <w:rPr>
          <w:rFonts w:ascii="宋体" w:hAnsi="宋体" w:hint="eastAsia"/>
          <w:sz w:val="28"/>
          <w:szCs w:val="28"/>
        </w:rPr>
        <w:t>指具有集体、私营、个人性质的内资企事业单位以及由其控股（包括绝对控股和相对控股）的企业单位在中华人民共和国境内建造或购置固定资产的投资。</w:t>
      </w:r>
    </w:p>
    <w:sectPr w:rsidR="00F952A6">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noPunctuationKerning/>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commondata" w:val="eyJoZGlkIjoiOTQ4MjU3N2U1ZjUxNzU5NjQ2NmU3NmVlMzIwN2FmYmYifQ=="/>
  </w:docVars>
  <w:rsids>
    <w:rsidRoot w:val="0034405F"/>
    <w:rsid w:val="00003B76"/>
    <w:rsid w:val="000040F2"/>
    <w:rsid w:val="000045FA"/>
    <w:rsid w:val="00010581"/>
    <w:rsid w:val="00015AC0"/>
    <w:rsid w:val="00032E1B"/>
    <w:rsid w:val="000368B8"/>
    <w:rsid w:val="0004519C"/>
    <w:rsid w:val="00045D45"/>
    <w:rsid w:val="00047707"/>
    <w:rsid w:val="00054586"/>
    <w:rsid w:val="00056C28"/>
    <w:rsid w:val="000631DE"/>
    <w:rsid w:val="00064597"/>
    <w:rsid w:val="00065815"/>
    <w:rsid w:val="0007053D"/>
    <w:rsid w:val="0007500B"/>
    <w:rsid w:val="00082165"/>
    <w:rsid w:val="00084E4C"/>
    <w:rsid w:val="00094BA7"/>
    <w:rsid w:val="00096C42"/>
    <w:rsid w:val="000A21C1"/>
    <w:rsid w:val="000B0B27"/>
    <w:rsid w:val="000B3F4C"/>
    <w:rsid w:val="000B4C04"/>
    <w:rsid w:val="000C5C85"/>
    <w:rsid w:val="000D1A97"/>
    <w:rsid w:val="000D3AEA"/>
    <w:rsid w:val="000D73A0"/>
    <w:rsid w:val="000D7D71"/>
    <w:rsid w:val="000E0178"/>
    <w:rsid w:val="000E3768"/>
    <w:rsid w:val="000E61E2"/>
    <w:rsid w:val="000F1365"/>
    <w:rsid w:val="000F1EA8"/>
    <w:rsid w:val="000F3C38"/>
    <w:rsid w:val="000F553B"/>
    <w:rsid w:val="00104783"/>
    <w:rsid w:val="0010664A"/>
    <w:rsid w:val="00111499"/>
    <w:rsid w:val="00117E3F"/>
    <w:rsid w:val="00127E1E"/>
    <w:rsid w:val="00132E82"/>
    <w:rsid w:val="00141006"/>
    <w:rsid w:val="0015028C"/>
    <w:rsid w:val="0016261B"/>
    <w:rsid w:val="001662C1"/>
    <w:rsid w:val="0016748C"/>
    <w:rsid w:val="00175617"/>
    <w:rsid w:val="00175AED"/>
    <w:rsid w:val="00177F75"/>
    <w:rsid w:val="00181610"/>
    <w:rsid w:val="00190C1C"/>
    <w:rsid w:val="001A5966"/>
    <w:rsid w:val="001B4C03"/>
    <w:rsid w:val="001C2D04"/>
    <w:rsid w:val="001C3842"/>
    <w:rsid w:val="001D3BD8"/>
    <w:rsid w:val="001F5891"/>
    <w:rsid w:val="002011BF"/>
    <w:rsid w:val="00207DFD"/>
    <w:rsid w:val="002100CF"/>
    <w:rsid w:val="00211257"/>
    <w:rsid w:val="00213983"/>
    <w:rsid w:val="00220273"/>
    <w:rsid w:val="00225E37"/>
    <w:rsid w:val="00246D9B"/>
    <w:rsid w:val="00250051"/>
    <w:rsid w:val="002552B0"/>
    <w:rsid w:val="00257C60"/>
    <w:rsid w:val="00267EA2"/>
    <w:rsid w:val="00283D89"/>
    <w:rsid w:val="00285EA5"/>
    <w:rsid w:val="002931C0"/>
    <w:rsid w:val="002A08C3"/>
    <w:rsid w:val="002A1C79"/>
    <w:rsid w:val="002B0540"/>
    <w:rsid w:val="002C715F"/>
    <w:rsid w:val="002D3376"/>
    <w:rsid w:val="002E48A9"/>
    <w:rsid w:val="00303C98"/>
    <w:rsid w:val="003209A8"/>
    <w:rsid w:val="0032291E"/>
    <w:rsid w:val="00327A78"/>
    <w:rsid w:val="00332B8C"/>
    <w:rsid w:val="00335344"/>
    <w:rsid w:val="00337D49"/>
    <w:rsid w:val="00343FF0"/>
    <w:rsid w:val="0034405F"/>
    <w:rsid w:val="003461FA"/>
    <w:rsid w:val="00354CB8"/>
    <w:rsid w:val="00362EBF"/>
    <w:rsid w:val="00364667"/>
    <w:rsid w:val="003730FE"/>
    <w:rsid w:val="00381AF4"/>
    <w:rsid w:val="00381F3A"/>
    <w:rsid w:val="00392C70"/>
    <w:rsid w:val="003A0CB4"/>
    <w:rsid w:val="003A65EE"/>
    <w:rsid w:val="003B12E7"/>
    <w:rsid w:val="003C66D6"/>
    <w:rsid w:val="003C6EB6"/>
    <w:rsid w:val="004006A5"/>
    <w:rsid w:val="00402FB3"/>
    <w:rsid w:val="0041601C"/>
    <w:rsid w:val="00421F84"/>
    <w:rsid w:val="004317D1"/>
    <w:rsid w:val="00455ED8"/>
    <w:rsid w:val="00460751"/>
    <w:rsid w:val="00477210"/>
    <w:rsid w:val="00477D6A"/>
    <w:rsid w:val="00483DCB"/>
    <w:rsid w:val="004A1A10"/>
    <w:rsid w:val="004A4561"/>
    <w:rsid w:val="004A78F6"/>
    <w:rsid w:val="004B346C"/>
    <w:rsid w:val="004B38DD"/>
    <w:rsid w:val="004C0008"/>
    <w:rsid w:val="004C3ACC"/>
    <w:rsid w:val="004C7120"/>
    <w:rsid w:val="004E5873"/>
    <w:rsid w:val="004E6193"/>
    <w:rsid w:val="0050027C"/>
    <w:rsid w:val="0050222E"/>
    <w:rsid w:val="00502319"/>
    <w:rsid w:val="00503057"/>
    <w:rsid w:val="005058B5"/>
    <w:rsid w:val="0050651C"/>
    <w:rsid w:val="00513755"/>
    <w:rsid w:val="00517AD1"/>
    <w:rsid w:val="0052192E"/>
    <w:rsid w:val="00525A45"/>
    <w:rsid w:val="005262DC"/>
    <w:rsid w:val="0053150C"/>
    <w:rsid w:val="00551DEC"/>
    <w:rsid w:val="00556936"/>
    <w:rsid w:val="00573EEB"/>
    <w:rsid w:val="00576E2A"/>
    <w:rsid w:val="00577F74"/>
    <w:rsid w:val="00583C2C"/>
    <w:rsid w:val="00590911"/>
    <w:rsid w:val="00593027"/>
    <w:rsid w:val="00593DAE"/>
    <w:rsid w:val="005969AE"/>
    <w:rsid w:val="005A6D70"/>
    <w:rsid w:val="005B2F14"/>
    <w:rsid w:val="005B65CB"/>
    <w:rsid w:val="005B74D1"/>
    <w:rsid w:val="005C5BF1"/>
    <w:rsid w:val="005C60BB"/>
    <w:rsid w:val="005D1F62"/>
    <w:rsid w:val="005D22D6"/>
    <w:rsid w:val="005D68AB"/>
    <w:rsid w:val="005E2835"/>
    <w:rsid w:val="0060369E"/>
    <w:rsid w:val="00604BF4"/>
    <w:rsid w:val="00612797"/>
    <w:rsid w:val="0062246D"/>
    <w:rsid w:val="0063500D"/>
    <w:rsid w:val="00635E2B"/>
    <w:rsid w:val="00640BBD"/>
    <w:rsid w:val="00641241"/>
    <w:rsid w:val="006444B4"/>
    <w:rsid w:val="00647387"/>
    <w:rsid w:val="00666AC9"/>
    <w:rsid w:val="006674F4"/>
    <w:rsid w:val="00667A0C"/>
    <w:rsid w:val="00677447"/>
    <w:rsid w:val="0068578C"/>
    <w:rsid w:val="006964F7"/>
    <w:rsid w:val="00697A2C"/>
    <w:rsid w:val="006C018C"/>
    <w:rsid w:val="006C0D31"/>
    <w:rsid w:val="006C1B81"/>
    <w:rsid w:val="006C6063"/>
    <w:rsid w:val="006D5332"/>
    <w:rsid w:val="006E1F62"/>
    <w:rsid w:val="006E6B3F"/>
    <w:rsid w:val="006F06DC"/>
    <w:rsid w:val="006F7B6E"/>
    <w:rsid w:val="007005C8"/>
    <w:rsid w:val="007066B2"/>
    <w:rsid w:val="0070709D"/>
    <w:rsid w:val="00714661"/>
    <w:rsid w:val="00715144"/>
    <w:rsid w:val="0071646E"/>
    <w:rsid w:val="007209AF"/>
    <w:rsid w:val="0074672C"/>
    <w:rsid w:val="00746EC5"/>
    <w:rsid w:val="0075065C"/>
    <w:rsid w:val="0076193E"/>
    <w:rsid w:val="00764AA8"/>
    <w:rsid w:val="00771937"/>
    <w:rsid w:val="00774FC9"/>
    <w:rsid w:val="00780171"/>
    <w:rsid w:val="00782F61"/>
    <w:rsid w:val="007A356D"/>
    <w:rsid w:val="007A567C"/>
    <w:rsid w:val="007B4A85"/>
    <w:rsid w:val="007D1517"/>
    <w:rsid w:val="007E299F"/>
    <w:rsid w:val="007E5B5C"/>
    <w:rsid w:val="007F6ED4"/>
    <w:rsid w:val="008028E8"/>
    <w:rsid w:val="00805806"/>
    <w:rsid w:val="008079FC"/>
    <w:rsid w:val="008120CD"/>
    <w:rsid w:val="008122A9"/>
    <w:rsid w:val="008259E7"/>
    <w:rsid w:val="008260B3"/>
    <w:rsid w:val="008268A2"/>
    <w:rsid w:val="00830DDE"/>
    <w:rsid w:val="00845342"/>
    <w:rsid w:val="00864656"/>
    <w:rsid w:val="0086624B"/>
    <w:rsid w:val="008733E8"/>
    <w:rsid w:val="00891505"/>
    <w:rsid w:val="008923FE"/>
    <w:rsid w:val="008C5356"/>
    <w:rsid w:val="008C5688"/>
    <w:rsid w:val="008C7F95"/>
    <w:rsid w:val="008D069C"/>
    <w:rsid w:val="008D3731"/>
    <w:rsid w:val="008E1637"/>
    <w:rsid w:val="008E34AC"/>
    <w:rsid w:val="008F00B7"/>
    <w:rsid w:val="008F0D1C"/>
    <w:rsid w:val="008F276C"/>
    <w:rsid w:val="00905405"/>
    <w:rsid w:val="00905CCA"/>
    <w:rsid w:val="00916999"/>
    <w:rsid w:val="00917B2D"/>
    <w:rsid w:val="00922BB5"/>
    <w:rsid w:val="00923A1B"/>
    <w:rsid w:val="0094333C"/>
    <w:rsid w:val="0095072C"/>
    <w:rsid w:val="009540C7"/>
    <w:rsid w:val="00956A8A"/>
    <w:rsid w:val="009606C4"/>
    <w:rsid w:val="009713B2"/>
    <w:rsid w:val="00971A83"/>
    <w:rsid w:val="00976D63"/>
    <w:rsid w:val="00985F2E"/>
    <w:rsid w:val="0099040C"/>
    <w:rsid w:val="0099556D"/>
    <w:rsid w:val="009A0580"/>
    <w:rsid w:val="009A7C22"/>
    <w:rsid w:val="009B20CE"/>
    <w:rsid w:val="009B50F8"/>
    <w:rsid w:val="009C56EB"/>
    <w:rsid w:val="009C61DD"/>
    <w:rsid w:val="009E6A8F"/>
    <w:rsid w:val="009E73AF"/>
    <w:rsid w:val="009F456B"/>
    <w:rsid w:val="009F5FCA"/>
    <w:rsid w:val="00A02A12"/>
    <w:rsid w:val="00A036FD"/>
    <w:rsid w:val="00A12120"/>
    <w:rsid w:val="00A24407"/>
    <w:rsid w:val="00A25218"/>
    <w:rsid w:val="00A345B8"/>
    <w:rsid w:val="00A35BF1"/>
    <w:rsid w:val="00A3708A"/>
    <w:rsid w:val="00A60A0B"/>
    <w:rsid w:val="00A84BD0"/>
    <w:rsid w:val="00A86A73"/>
    <w:rsid w:val="00A926BA"/>
    <w:rsid w:val="00A92DBB"/>
    <w:rsid w:val="00A93653"/>
    <w:rsid w:val="00AC119B"/>
    <w:rsid w:val="00AC2FAF"/>
    <w:rsid w:val="00AD0449"/>
    <w:rsid w:val="00AD15C6"/>
    <w:rsid w:val="00AE2458"/>
    <w:rsid w:val="00B02AB5"/>
    <w:rsid w:val="00B13CD1"/>
    <w:rsid w:val="00B15C2A"/>
    <w:rsid w:val="00B237D6"/>
    <w:rsid w:val="00B33F12"/>
    <w:rsid w:val="00B405B9"/>
    <w:rsid w:val="00B46D6F"/>
    <w:rsid w:val="00B50E1F"/>
    <w:rsid w:val="00B538F0"/>
    <w:rsid w:val="00B54F6B"/>
    <w:rsid w:val="00B5754A"/>
    <w:rsid w:val="00B6485D"/>
    <w:rsid w:val="00B66BC8"/>
    <w:rsid w:val="00B726FA"/>
    <w:rsid w:val="00B74F49"/>
    <w:rsid w:val="00B77CAF"/>
    <w:rsid w:val="00B93BA8"/>
    <w:rsid w:val="00BA3C3C"/>
    <w:rsid w:val="00BA5E97"/>
    <w:rsid w:val="00BB14C2"/>
    <w:rsid w:val="00BC211D"/>
    <w:rsid w:val="00BD66D6"/>
    <w:rsid w:val="00BF131D"/>
    <w:rsid w:val="00C001C9"/>
    <w:rsid w:val="00C00E8B"/>
    <w:rsid w:val="00C01996"/>
    <w:rsid w:val="00C0776A"/>
    <w:rsid w:val="00C13875"/>
    <w:rsid w:val="00C140C2"/>
    <w:rsid w:val="00C20153"/>
    <w:rsid w:val="00C240B2"/>
    <w:rsid w:val="00C35C17"/>
    <w:rsid w:val="00C47498"/>
    <w:rsid w:val="00C55CB9"/>
    <w:rsid w:val="00C67F6F"/>
    <w:rsid w:val="00C70802"/>
    <w:rsid w:val="00C71CDE"/>
    <w:rsid w:val="00C84C54"/>
    <w:rsid w:val="00C92199"/>
    <w:rsid w:val="00C96151"/>
    <w:rsid w:val="00CA1C27"/>
    <w:rsid w:val="00CA4DAF"/>
    <w:rsid w:val="00CA5739"/>
    <w:rsid w:val="00CB614A"/>
    <w:rsid w:val="00CB61E3"/>
    <w:rsid w:val="00CC61ED"/>
    <w:rsid w:val="00CD38F6"/>
    <w:rsid w:val="00CD5B4A"/>
    <w:rsid w:val="00CE2C8F"/>
    <w:rsid w:val="00CE3749"/>
    <w:rsid w:val="00CE754A"/>
    <w:rsid w:val="00CF3CF6"/>
    <w:rsid w:val="00CF750B"/>
    <w:rsid w:val="00D00DB2"/>
    <w:rsid w:val="00D05ABE"/>
    <w:rsid w:val="00D21AC7"/>
    <w:rsid w:val="00D25BAE"/>
    <w:rsid w:val="00D30ECD"/>
    <w:rsid w:val="00D37B42"/>
    <w:rsid w:val="00D5032E"/>
    <w:rsid w:val="00D5317D"/>
    <w:rsid w:val="00D55D27"/>
    <w:rsid w:val="00D55F5F"/>
    <w:rsid w:val="00D566B5"/>
    <w:rsid w:val="00D571DF"/>
    <w:rsid w:val="00D67E71"/>
    <w:rsid w:val="00D76A52"/>
    <w:rsid w:val="00D85A01"/>
    <w:rsid w:val="00D90374"/>
    <w:rsid w:val="00D91FB4"/>
    <w:rsid w:val="00D92AC2"/>
    <w:rsid w:val="00DA571E"/>
    <w:rsid w:val="00DB22D6"/>
    <w:rsid w:val="00DC2738"/>
    <w:rsid w:val="00DC36D3"/>
    <w:rsid w:val="00DD5744"/>
    <w:rsid w:val="00DE44CD"/>
    <w:rsid w:val="00DE5606"/>
    <w:rsid w:val="00DF03D6"/>
    <w:rsid w:val="00DF0D0D"/>
    <w:rsid w:val="00DF1303"/>
    <w:rsid w:val="00DF2D34"/>
    <w:rsid w:val="00E0647C"/>
    <w:rsid w:val="00E064B7"/>
    <w:rsid w:val="00E07AC2"/>
    <w:rsid w:val="00E16F3A"/>
    <w:rsid w:val="00E302E8"/>
    <w:rsid w:val="00E44F61"/>
    <w:rsid w:val="00E4785D"/>
    <w:rsid w:val="00E51361"/>
    <w:rsid w:val="00E55C86"/>
    <w:rsid w:val="00E62231"/>
    <w:rsid w:val="00E74ED0"/>
    <w:rsid w:val="00E82028"/>
    <w:rsid w:val="00E82CAB"/>
    <w:rsid w:val="00E93F83"/>
    <w:rsid w:val="00EA34F8"/>
    <w:rsid w:val="00EB32CE"/>
    <w:rsid w:val="00EC2EBD"/>
    <w:rsid w:val="00EC6E2F"/>
    <w:rsid w:val="00ED4871"/>
    <w:rsid w:val="00ED7D27"/>
    <w:rsid w:val="00EE3311"/>
    <w:rsid w:val="00EF340E"/>
    <w:rsid w:val="00EF4995"/>
    <w:rsid w:val="00EF7A06"/>
    <w:rsid w:val="00F1156F"/>
    <w:rsid w:val="00F17AD3"/>
    <w:rsid w:val="00F274A3"/>
    <w:rsid w:val="00F33AE9"/>
    <w:rsid w:val="00F43DB1"/>
    <w:rsid w:val="00F72D05"/>
    <w:rsid w:val="00F83442"/>
    <w:rsid w:val="00F8367F"/>
    <w:rsid w:val="00F8649A"/>
    <w:rsid w:val="00F9455D"/>
    <w:rsid w:val="00F952A6"/>
    <w:rsid w:val="00FB21EA"/>
    <w:rsid w:val="00FC26BC"/>
    <w:rsid w:val="00FC403B"/>
    <w:rsid w:val="00FD0324"/>
    <w:rsid w:val="00FE6177"/>
    <w:rsid w:val="00FE6A88"/>
    <w:rsid w:val="076B0C07"/>
    <w:rsid w:val="091E0411"/>
    <w:rsid w:val="09B856A2"/>
    <w:rsid w:val="0F371CB7"/>
    <w:rsid w:val="0FD365D4"/>
    <w:rsid w:val="10673459"/>
    <w:rsid w:val="178D2071"/>
    <w:rsid w:val="1ACF7F10"/>
    <w:rsid w:val="1C70425F"/>
    <w:rsid w:val="1C763C9D"/>
    <w:rsid w:val="1DB46787"/>
    <w:rsid w:val="1EA71EC4"/>
    <w:rsid w:val="20874380"/>
    <w:rsid w:val="212B16CD"/>
    <w:rsid w:val="22AC1615"/>
    <w:rsid w:val="234852A8"/>
    <w:rsid w:val="26F45322"/>
    <w:rsid w:val="276D7C49"/>
    <w:rsid w:val="27A32BF1"/>
    <w:rsid w:val="2A2B16AF"/>
    <w:rsid w:val="2B3204C7"/>
    <w:rsid w:val="2CE27C2F"/>
    <w:rsid w:val="2E703BCB"/>
    <w:rsid w:val="2F010E0A"/>
    <w:rsid w:val="31F0151C"/>
    <w:rsid w:val="37C76774"/>
    <w:rsid w:val="3C0C2124"/>
    <w:rsid w:val="3D0633AF"/>
    <w:rsid w:val="3EA60348"/>
    <w:rsid w:val="448775FA"/>
    <w:rsid w:val="44AE0841"/>
    <w:rsid w:val="450768A0"/>
    <w:rsid w:val="45A44DB2"/>
    <w:rsid w:val="463067D1"/>
    <w:rsid w:val="471D1B55"/>
    <w:rsid w:val="4A476575"/>
    <w:rsid w:val="56197D41"/>
    <w:rsid w:val="57B14369"/>
    <w:rsid w:val="61797581"/>
    <w:rsid w:val="656B1C33"/>
    <w:rsid w:val="659A02DC"/>
    <w:rsid w:val="659D6111"/>
    <w:rsid w:val="661B1450"/>
    <w:rsid w:val="6D556999"/>
    <w:rsid w:val="71AA3994"/>
    <w:rsid w:val="72181971"/>
    <w:rsid w:val="732B026E"/>
    <w:rsid w:val="738A3D86"/>
    <w:rsid w:val="792E2702"/>
    <w:rsid w:val="7DCE6A26"/>
    <w:rsid w:val="7E4E4D9F"/>
    <w:rsid w:val="7FC3568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70D609"/>
  <w15:docId w15:val="{CF9AF1CC-7709-41B3-B4E7-FC00493805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nhideWhenUsed="1" w:qFormat="1"/>
    <w:lsdException w:name="Table Grid" w:uiPriority="3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Calibri" w:hAnsi="Calibr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unhideWhenUsed/>
    <w:qFormat/>
    <w:rPr>
      <w:sz w:val="18"/>
      <w:szCs w:val="18"/>
    </w:rPr>
  </w:style>
  <w:style w:type="paragraph" w:styleId="a5">
    <w:name w:val="footer"/>
    <w:basedOn w:val="a"/>
    <w:link w:val="a6"/>
    <w:uiPriority w:val="99"/>
    <w:unhideWhenUsed/>
    <w:qFormat/>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paragraph" w:styleId="a9">
    <w:name w:val="Normal (Web)"/>
    <w:basedOn w:val="a"/>
    <w:uiPriority w:val="99"/>
    <w:unhideWhenUsed/>
    <w:qFormat/>
    <w:pPr>
      <w:widowControl/>
      <w:spacing w:before="100" w:beforeAutospacing="1" w:after="100" w:afterAutospacing="1"/>
      <w:jc w:val="left"/>
    </w:pPr>
    <w:rPr>
      <w:rFonts w:ascii="宋体" w:hAnsi="宋体" w:cs="宋体"/>
      <w:kern w:val="0"/>
      <w:sz w:val="24"/>
      <w:szCs w:val="24"/>
    </w:rPr>
  </w:style>
  <w:style w:type="character" w:styleId="aa">
    <w:name w:val="Strong"/>
    <w:uiPriority w:val="22"/>
    <w:qFormat/>
    <w:rPr>
      <w:b/>
      <w:bCs/>
    </w:rPr>
  </w:style>
  <w:style w:type="character" w:customStyle="1" w:styleId="a8">
    <w:name w:val="页眉 字符"/>
    <w:link w:val="a7"/>
    <w:uiPriority w:val="99"/>
    <w:qFormat/>
    <w:rPr>
      <w:kern w:val="2"/>
      <w:sz w:val="18"/>
      <w:szCs w:val="18"/>
    </w:rPr>
  </w:style>
  <w:style w:type="character" w:customStyle="1" w:styleId="a6">
    <w:name w:val="页脚 字符"/>
    <w:link w:val="a5"/>
    <w:uiPriority w:val="99"/>
    <w:qFormat/>
    <w:rPr>
      <w:kern w:val="2"/>
      <w:sz w:val="18"/>
      <w:szCs w:val="18"/>
    </w:rPr>
  </w:style>
  <w:style w:type="character" w:customStyle="1" w:styleId="a4">
    <w:name w:val="批注框文本 字符"/>
    <w:link w:val="a3"/>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chart" Target="charts/chart1.xml"/><Relationship Id="rId4" Type="http://schemas.openxmlformats.org/officeDocument/2006/relationships/webSettings" Target="webSettings.xml"/></Relationships>
</file>

<file path=word/charts/_rels/chart1.xml.rels><?xml version="1.0" encoding="UTF-8" standalone="yes"?>
<Relationships xmlns="http://schemas.openxmlformats.org/package/2006/relationships"><Relationship Id="rId1" Type="http://schemas.openxmlformats.org/officeDocument/2006/relationships/oleObject" Target="file:///D:\&#32479;&#35745;&#23616;&#25991;&#20214;\&#21488;&#36134;\A-&#22806;&#32593;&#20449;&#24687;&#25968;&#25454;&#21457;&#24067;\&#22270;&#34920;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manualLayout>
          <c:layoutTarget val="inner"/>
          <c:xMode val="edge"/>
          <c:yMode val="edge"/>
          <c:x val="5.2483701121614199E-2"/>
          <c:y val="2.5974502629867401E-2"/>
          <c:w val="0.92301962846126895"/>
          <c:h val="0.82952468007312596"/>
        </c:manualLayout>
      </c:layout>
      <c:lineChart>
        <c:grouping val="standard"/>
        <c:varyColors val="0"/>
        <c:ser>
          <c:idx val="0"/>
          <c:order val="0"/>
          <c:tx>
            <c:strRef>
              <c:f>全社会固定资产投资!$D$26</c:f>
              <c:strCache>
                <c:ptCount val="1"/>
                <c:pt idx="0">
                  <c:v>增速</c:v>
                </c:pt>
              </c:strCache>
            </c:strRef>
          </c:tx>
          <c:dPt>
            <c:idx val="0"/>
            <c:bubble3D val="0"/>
            <c:spPr>
              <a:ln w="28575" cap="rnd" cmpd="sng" algn="ctr">
                <a:solidFill>
                  <a:schemeClr val="accent1"/>
                </a:solidFill>
                <a:prstDash val="solid"/>
                <a:round/>
              </a:ln>
            </c:spPr>
            <c:extLst>
              <c:ext xmlns:c16="http://schemas.microsoft.com/office/drawing/2014/chart" uri="{C3380CC4-5D6E-409C-BE32-E72D297353CC}">
                <c16:uniqueId val="{00000001-097E-4F0C-8D0C-E3106CB2EB42}"/>
              </c:ext>
            </c:extLst>
          </c:dPt>
          <c:dPt>
            <c:idx val="1"/>
            <c:bubble3D val="0"/>
            <c:spPr>
              <a:ln w="28575" cap="rnd" cmpd="sng" algn="ctr">
                <a:solidFill>
                  <a:schemeClr val="accent1"/>
                </a:solidFill>
                <a:prstDash val="solid"/>
                <a:round/>
              </a:ln>
            </c:spPr>
            <c:extLst>
              <c:ext xmlns:c16="http://schemas.microsoft.com/office/drawing/2014/chart" uri="{C3380CC4-5D6E-409C-BE32-E72D297353CC}">
                <c16:uniqueId val="{00000003-097E-4F0C-8D0C-E3106CB2EB42}"/>
              </c:ext>
            </c:extLst>
          </c:dPt>
          <c:dPt>
            <c:idx val="2"/>
            <c:bubble3D val="0"/>
            <c:spPr>
              <a:ln w="28575" cap="rnd" cmpd="sng" algn="ctr">
                <a:solidFill>
                  <a:schemeClr val="accent1">
                    <a:shade val="95000"/>
                    <a:satMod val="105000"/>
                  </a:schemeClr>
                </a:solidFill>
                <a:prstDash val="solid"/>
                <a:round/>
              </a:ln>
            </c:spPr>
            <c:extLst>
              <c:ext xmlns:c16="http://schemas.microsoft.com/office/drawing/2014/chart" uri="{C3380CC4-5D6E-409C-BE32-E72D297353CC}">
                <c16:uniqueId val="{00000005-097E-4F0C-8D0C-E3106CB2EB42}"/>
              </c:ext>
            </c:extLst>
          </c:dPt>
          <c:dPt>
            <c:idx val="3"/>
            <c:bubble3D val="0"/>
            <c:spPr>
              <a:ln w="28575" cap="rnd" cmpd="sng" algn="ctr">
                <a:solidFill>
                  <a:schemeClr val="accent1"/>
                </a:solidFill>
                <a:prstDash val="solid"/>
                <a:round/>
              </a:ln>
            </c:spPr>
            <c:extLst>
              <c:ext xmlns:c16="http://schemas.microsoft.com/office/drawing/2014/chart" uri="{C3380CC4-5D6E-409C-BE32-E72D297353CC}">
                <c16:uniqueId val="{00000007-097E-4F0C-8D0C-E3106CB2EB42}"/>
              </c:ext>
            </c:extLst>
          </c:dPt>
          <c:dPt>
            <c:idx val="4"/>
            <c:bubble3D val="0"/>
            <c:spPr>
              <a:ln w="28575" cap="rnd" cmpd="sng" algn="ctr">
                <a:solidFill>
                  <a:schemeClr val="accent1"/>
                </a:solidFill>
                <a:prstDash val="solid"/>
                <a:round/>
              </a:ln>
            </c:spPr>
            <c:extLst>
              <c:ext xmlns:c16="http://schemas.microsoft.com/office/drawing/2014/chart" uri="{C3380CC4-5D6E-409C-BE32-E72D297353CC}">
                <c16:uniqueId val="{00000009-097E-4F0C-8D0C-E3106CB2EB42}"/>
              </c:ext>
            </c:extLst>
          </c:dPt>
          <c:dPt>
            <c:idx val="5"/>
            <c:bubble3D val="0"/>
            <c:spPr>
              <a:ln w="28575" cap="rnd" cmpd="sng" algn="ctr">
                <a:solidFill>
                  <a:schemeClr val="accent1"/>
                </a:solidFill>
                <a:prstDash val="solid"/>
                <a:round/>
              </a:ln>
            </c:spPr>
            <c:extLst>
              <c:ext xmlns:c16="http://schemas.microsoft.com/office/drawing/2014/chart" uri="{C3380CC4-5D6E-409C-BE32-E72D297353CC}">
                <c16:uniqueId val="{0000000B-097E-4F0C-8D0C-E3106CB2EB42}"/>
              </c:ext>
            </c:extLst>
          </c:dPt>
          <c:dPt>
            <c:idx val="6"/>
            <c:bubble3D val="0"/>
            <c:spPr>
              <a:ln w="28575" cap="rnd" cmpd="sng" algn="ctr">
                <a:solidFill>
                  <a:schemeClr val="accent1"/>
                </a:solidFill>
                <a:prstDash val="solid"/>
                <a:round/>
              </a:ln>
            </c:spPr>
            <c:extLst>
              <c:ext xmlns:c16="http://schemas.microsoft.com/office/drawing/2014/chart" uri="{C3380CC4-5D6E-409C-BE32-E72D297353CC}">
                <c16:uniqueId val="{0000000D-097E-4F0C-8D0C-E3106CB2EB42}"/>
              </c:ext>
            </c:extLst>
          </c:dPt>
          <c:dPt>
            <c:idx val="7"/>
            <c:bubble3D val="0"/>
            <c:spPr>
              <a:ln w="28575" cap="rnd" cmpd="sng" algn="ctr">
                <a:solidFill>
                  <a:schemeClr val="accent1">
                    <a:shade val="95000"/>
                    <a:satMod val="105000"/>
                  </a:schemeClr>
                </a:solidFill>
                <a:prstDash val="solid"/>
                <a:round/>
              </a:ln>
            </c:spPr>
            <c:extLst>
              <c:ext xmlns:c16="http://schemas.microsoft.com/office/drawing/2014/chart" uri="{C3380CC4-5D6E-409C-BE32-E72D297353CC}">
                <c16:uniqueId val="{0000000F-097E-4F0C-8D0C-E3106CB2EB42}"/>
              </c:ext>
            </c:extLst>
          </c:dPt>
          <c:dPt>
            <c:idx val="8"/>
            <c:marker>
              <c:spPr>
                <a:ln w="9525" cap="flat" cmpd="sng" algn="ctr">
                  <a:solidFill>
                    <a:srgbClr val="0070C0"/>
                  </a:solidFill>
                  <a:prstDash val="solid"/>
                  <a:round/>
                </a:ln>
              </c:spPr>
            </c:marker>
            <c:bubble3D val="0"/>
            <c:spPr>
              <a:ln w="28575" cap="rnd" cmpd="sng" algn="ctr">
                <a:solidFill>
                  <a:srgbClr val="0070C0"/>
                </a:solidFill>
                <a:prstDash val="solid"/>
                <a:round/>
              </a:ln>
            </c:spPr>
            <c:extLst>
              <c:ext xmlns:c16="http://schemas.microsoft.com/office/drawing/2014/chart" uri="{C3380CC4-5D6E-409C-BE32-E72D297353CC}">
                <c16:uniqueId val="{00000011-097E-4F0C-8D0C-E3106CB2EB42}"/>
              </c:ext>
            </c:extLst>
          </c:dPt>
          <c:dPt>
            <c:idx val="9"/>
            <c:bubble3D val="0"/>
            <c:spPr>
              <a:ln w="28575" cap="rnd" cmpd="sng" algn="ctr">
                <a:solidFill>
                  <a:schemeClr val="accent1"/>
                </a:solidFill>
                <a:prstDash val="solid"/>
                <a:round/>
              </a:ln>
            </c:spPr>
            <c:extLst>
              <c:ext xmlns:c16="http://schemas.microsoft.com/office/drawing/2014/chart" uri="{C3380CC4-5D6E-409C-BE32-E72D297353CC}">
                <c16:uniqueId val="{00000013-097E-4F0C-8D0C-E3106CB2EB42}"/>
              </c:ext>
            </c:extLst>
          </c:dPt>
          <c:dPt>
            <c:idx val="10"/>
            <c:bubble3D val="0"/>
            <c:spPr>
              <a:ln w="28575" cap="rnd" cmpd="sng" algn="ctr">
                <a:solidFill>
                  <a:schemeClr val="accent1">
                    <a:shade val="95000"/>
                    <a:satMod val="105000"/>
                  </a:schemeClr>
                </a:solidFill>
                <a:prstDash val="solid"/>
                <a:round/>
              </a:ln>
            </c:spPr>
            <c:extLst>
              <c:ext xmlns:c16="http://schemas.microsoft.com/office/drawing/2014/chart" uri="{C3380CC4-5D6E-409C-BE32-E72D297353CC}">
                <c16:uniqueId val="{00000015-097E-4F0C-8D0C-E3106CB2EB42}"/>
              </c:ext>
            </c:extLst>
          </c:dPt>
          <c:dPt>
            <c:idx val="11"/>
            <c:bubble3D val="0"/>
            <c:spPr>
              <a:ln w="28575" cap="rnd" cmpd="sng" algn="ctr">
                <a:solidFill>
                  <a:schemeClr val="accent1">
                    <a:shade val="95000"/>
                    <a:satMod val="105000"/>
                  </a:schemeClr>
                </a:solidFill>
                <a:prstDash val="solid"/>
                <a:round/>
              </a:ln>
            </c:spPr>
            <c:extLst>
              <c:ext xmlns:c16="http://schemas.microsoft.com/office/drawing/2014/chart" uri="{C3380CC4-5D6E-409C-BE32-E72D297353CC}">
                <c16:uniqueId val="{00000017-097E-4F0C-8D0C-E3106CB2EB42}"/>
              </c:ext>
            </c:extLst>
          </c:dPt>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endParaRPr lang="zh-CN"/>
              </a:p>
            </c:txPr>
            <c:dLblPos val="r"/>
            <c:showLegendKey val="0"/>
            <c:showVal val="1"/>
            <c:showCatName val="0"/>
            <c:showSerName val="0"/>
            <c:showPercent val="0"/>
            <c:showBubbleSize val="0"/>
            <c:showLeaderLines val="0"/>
            <c:extLst>
              <c:ext xmlns:c15="http://schemas.microsoft.com/office/drawing/2012/chart" uri="{CE6537A1-D6FC-4f65-9D91-7224C49458BB}">
                <c15:showLeaderLines val="0"/>
              </c:ext>
            </c:extLst>
          </c:dLbls>
          <c:cat>
            <c:multiLvlStrRef>
              <c:f>全社会固定资产投资!$B$73:$C$88</c:f>
              <c:multiLvlStrCache>
                <c:ptCount val="16"/>
                <c:lvl>
                  <c:pt idx="0">
                    <c:v>1-2月</c:v>
                  </c:pt>
                  <c:pt idx="1">
                    <c:v>1-3月</c:v>
                  </c:pt>
                  <c:pt idx="2">
                    <c:v>1-4月</c:v>
                  </c:pt>
                  <c:pt idx="3">
                    <c:v>1-5月</c:v>
                  </c:pt>
                  <c:pt idx="4">
                    <c:v>1-6月</c:v>
                  </c:pt>
                  <c:pt idx="5">
                    <c:v>1-7月</c:v>
                  </c:pt>
                  <c:pt idx="6">
                    <c:v>1-8月</c:v>
                  </c:pt>
                  <c:pt idx="7">
                    <c:v>1-9月</c:v>
                  </c:pt>
                  <c:pt idx="8">
                    <c:v>1-10月</c:v>
                  </c:pt>
                  <c:pt idx="9">
                    <c:v>1-11月</c:v>
                  </c:pt>
                  <c:pt idx="10">
                    <c:v>1-12月</c:v>
                  </c:pt>
                  <c:pt idx="11">
                    <c:v>1-2月</c:v>
                  </c:pt>
                  <c:pt idx="12">
                    <c:v>1-3月</c:v>
                  </c:pt>
                  <c:pt idx="13">
                    <c:v>1-4月</c:v>
                  </c:pt>
                  <c:pt idx="14">
                    <c:v>1-5月</c:v>
                  </c:pt>
                  <c:pt idx="15">
                    <c:v>1-6月</c:v>
                  </c:pt>
                </c:lvl>
                <c:lvl>
                  <c:pt idx="0">
                    <c:v>2022年</c:v>
                  </c:pt>
                  <c:pt idx="11">
                    <c:v>2023年</c:v>
                  </c:pt>
                </c:lvl>
              </c:multiLvlStrCache>
            </c:multiLvlStrRef>
          </c:cat>
          <c:val>
            <c:numRef>
              <c:f>全社会固定资产投资!$D$73:$D$88</c:f>
              <c:numCache>
                <c:formatCode>0.0_ </c:formatCode>
                <c:ptCount val="16"/>
                <c:pt idx="0">
                  <c:v>8.9</c:v>
                </c:pt>
                <c:pt idx="1">
                  <c:v>12.8</c:v>
                </c:pt>
                <c:pt idx="2">
                  <c:v>11.3</c:v>
                </c:pt>
                <c:pt idx="3">
                  <c:v>7.5</c:v>
                </c:pt>
                <c:pt idx="4">
                  <c:v>10.1</c:v>
                </c:pt>
                <c:pt idx="5">
                  <c:v>11.4</c:v>
                </c:pt>
                <c:pt idx="6">
                  <c:v>14.1</c:v>
                </c:pt>
                <c:pt idx="7" formatCode="General">
                  <c:v>18.399999999999999</c:v>
                </c:pt>
                <c:pt idx="8">
                  <c:v>14.1</c:v>
                </c:pt>
                <c:pt idx="9">
                  <c:v>16.7</c:v>
                </c:pt>
                <c:pt idx="10">
                  <c:v>13</c:v>
                </c:pt>
                <c:pt idx="11">
                  <c:v>1.4</c:v>
                </c:pt>
                <c:pt idx="12">
                  <c:v>11.765736481945201</c:v>
                </c:pt>
                <c:pt idx="13">
                  <c:v>16.8</c:v>
                </c:pt>
                <c:pt idx="14">
                  <c:v>28.3</c:v>
                </c:pt>
                <c:pt idx="15">
                  <c:v>15.1</c:v>
                </c:pt>
              </c:numCache>
            </c:numRef>
          </c:val>
          <c:smooth val="0"/>
          <c:extLst>
            <c:ext xmlns:c16="http://schemas.microsoft.com/office/drawing/2014/chart" uri="{C3380CC4-5D6E-409C-BE32-E72D297353CC}">
              <c16:uniqueId val="{00000018-097E-4F0C-8D0C-E3106CB2EB42}"/>
            </c:ext>
          </c:extLst>
        </c:ser>
        <c:dLbls>
          <c:showLegendKey val="0"/>
          <c:showVal val="1"/>
          <c:showCatName val="0"/>
          <c:showSerName val="0"/>
          <c:showPercent val="0"/>
          <c:showBubbleSize val="0"/>
        </c:dLbls>
        <c:marker val="1"/>
        <c:smooth val="0"/>
        <c:axId val="107642880"/>
        <c:axId val="107644416"/>
      </c:lineChart>
      <c:catAx>
        <c:axId val="107642880"/>
        <c:scaling>
          <c:orientation val="minMax"/>
        </c:scaling>
        <c:delete val="0"/>
        <c:axPos val="b"/>
        <c:numFmt formatCode="General" sourceLinked="0"/>
        <c:majorTickMark val="out"/>
        <c:minorTickMark val="none"/>
        <c:tickLblPos val="low"/>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07644416"/>
        <c:crosses val="autoZero"/>
        <c:auto val="1"/>
        <c:lblAlgn val="ctr"/>
        <c:lblOffset val="100"/>
        <c:noMultiLvlLbl val="0"/>
      </c:catAx>
      <c:valAx>
        <c:axId val="107644416"/>
        <c:scaling>
          <c:orientation val="minMax"/>
        </c:scaling>
        <c:delete val="0"/>
        <c:axPos val="l"/>
        <c:majorGridlines>
          <c:spPr>
            <a:ln w="0" cap="flat" cmpd="sng" algn="ctr">
              <a:solidFill>
                <a:schemeClr val="accent1"/>
              </a:solidFill>
              <a:prstDash val="solid"/>
              <a:round/>
            </a:ln>
          </c:spPr>
        </c:majorGridlines>
        <c:numFmt formatCode="0.0_ "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endParaRPr lang="zh-CN"/>
          </a:p>
        </c:txPr>
        <c:crossAx val="107642880"/>
        <c:crosses val="autoZero"/>
        <c:crossBetween val="midCat"/>
      </c:valAx>
      <c:spPr>
        <a:noFill/>
      </c:spPr>
    </c:plotArea>
    <c:plotVisOnly val="1"/>
    <c:dispBlanksAs val="span"/>
    <c:showDLblsOverMax val="0"/>
  </c:chart>
  <c:spPr>
    <a:ln w="9525" cap="flat" cmpd="sng" algn="ctr">
      <a:noFill/>
      <a:prstDash val="solid"/>
      <a:round/>
    </a:ln>
  </c:spPr>
  <c:txPr>
    <a:bodyPr/>
    <a:lstStyle/>
    <a:p>
      <a:pPr>
        <a:defRPr lang="zh-CN"/>
      </a:pPr>
      <a:endParaRPr lang="zh-CN"/>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100</Words>
  <Characters>571</Characters>
  <Application>Microsoft Office Word</Application>
  <DocSecurity>0</DocSecurity>
  <Lines>4</Lines>
  <Paragraphs>1</Paragraphs>
  <ScaleCrop>false</ScaleCrop>
  <Company>朝阳区统计局</Company>
  <LinksUpToDate>false</LinksUpToDate>
  <CharactersWithSpaces>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郭 鹏</cp:lastModifiedBy>
  <cp:revision>2</cp:revision>
  <cp:lastPrinted>2022-06-16T06:30:00Z</cp:lastPrinted>
  <dcterms:created xsi:type="dcterms:W3CDTF">2023-07-19T09:11:00Z</dcterms:created>
  <dcterms:modified xsi:type="dcterms:W3CDTF">2023-07-19T09:11:00Z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EC66580F6F444C348A8D7941CF940C46</vt:lpwstr>
  </property>
</Properties>
</file>