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jc w:val="center"/>
        <w:rPr>
          <w:rFonts w:hint="default" w:ascii="Times New Roman" w:hAnsi="Times New Roman" w:eastAsia="宋体" w:cs="Times New Roman"/>
          <w:b/>
          <w:bCs/>
          <w:spacing w:val="15"/>
          <w:sz w:val="44"/>
          <w:szCs w:val="44"/>
        </w:rPr>
      </w:pPr>
      <w:r>
        <w:rPr>
          <w:rFonts w:hint="default" w:ascii="Times New Roman" w:hAnsi="Times New Roman" w:eastAsia="宋体" w:cs="Times New Roman"/>
          <w:b/>
          <w:bCs/>
          <w:spacing w:val="15"/>
          <w:sz w:val="44"/>
          <w:szCs w:val="44"/>
        </w:rPr>
        <w:t>202</w:t>
      </w:r>
      <w:r>
        <w:rPr>
          <w:rFonts w:hint="eastAsia" w:ascii="Times New Roman" w:hAnsi="Times New Roman" w:cs="Times New Roman"/>
          <w:b/>
          <w:bCs/>
          <w:spacing w:val="15"/>
          <w:sz w:val="44"/>
          <w:szCs w:val="44"/>
          <w:lang w:val="en-US" w:eastAsia="zh-CN"/>
        </w:rPr>
        <w:t>5</w:t>
      </w:r>
      <w:r>
        <w:rPr>
          <w:rFonts w:hint="default" w:ascii="Times New Roman" w:hAnsi="Times New Roman" w:eastAsia="宋体" w:cs="Times New Roman"/>
          <w:b/>
          <w:bCs/>
          <w:spacing w:val="15"/>
          <w:sz w:val="44"/>
          <w:szCs w:val="44"/>
        </w:rPr>
        <w:t>年1-</w:t>
      </w:r>
      <w:r>
        <w:rPr>
          <w:rFonts w:hint="eastAsia" w:ascii="Times New Roman" w:hAnsi="Times New Roman" w:cs="Times New Roman"/>
          <w:b/>
          <w:bCs/>
          <w:spacing w:val="15"/>
          <w:sz w:val="44"/>
          <w:szCs w:val="44"/>
          <w:lang w:val="en-US" w:eastAsia="zh-CN"/>
        </w:rPr>
        <w:t>7</w:t>
      </w:r>
      <w:r>
        <w:rPr>
          <w:rFonts w:hint="default" w:ascii="Times New Roman" w:hAnsi="Times New Roman" w:eastAsia="宋体" w:cs="Times New Roman"/>
          <w:b/>
          <w:bCs/>
          <w:spacing w:val="15"/>
          <w:sz w:val="44"/>
          <w:szCs w:val="44"/>
        </w:rPr>
        <w:t>月朝阳区固定资产投资</w:t>
      </w:r>
    </w:p>
    <w:p>
      <w:pPr>
        <w:widowControl/>
        <w:spacing w:line="480" w:lineRule="auto"/>
        <w:jc w:val="center"/>
        <w:rPr>
          <w:rFonts w:hint="default" w:ascii="Times New Roman" w:hAnsi="Times New Roman" w:eastAsia="宋体" w:cs="Times New Roman"/>
          <w:b/>
          <w:bCs/>
          <w:spacing w:val="15"/>
          <w:sz w:val="44"/>
          <w:szCs w:val="44"/>
        </w:rPr>
      </w:pPr>
      <w:r>
        <w:rPr>
          <w:rFonts w:hint="default" w:ascii="Times New Roman" w:hAnsi="Times New Roman" w:eastAsia="宋体" w:cs="Times New Roman"/>
          <w:b/>
          <w:bCs/>
          <w:spacing w:val="15"/>
          <w:sz w:val="44"/>
          <w:szCs w:val="44"/>
        </w:rPr>
        <w:t>（不含农户）同比增长</w:t>
      </w:r>
      <w:r>
        <w:rPr>
          <w:rFonts w:hint="eastAsia" w:ascii="Times New Roman" w:hAnsi="Times New Roman" w:cs="Times New Roman"/>
          <w:b/>
          <w:bCs/>
          <w:spacing w:val="15"/>
          <w:sz w:val="44"/>
          <w:szCs w:val="44"/>
          <w:lang w:val="en-US" w:eastAsia="zh-CN"/>
        </w:rPr>
        <w:t>3.3</w:t>
      </w:r>
      <w:r>
        <w:rPr>
          <w:rFonts w:hint="default" w:ascii="Times New Roman" w:hAnsi="Times New Roman" w:eastAsia="宋体" w:cs="Times New Roman"/>
          <w:b/>
          <w:bCs/>
          <w:spacing w:val="15"/>
          <w:sz w:val="44"/>
          <w:szCs w:val="44"/>
        </w:rPr>
        <w:t>%</w:t>
      </w:r>
    </w:p>
    <w:p>
      <w:pPr>
        <w:widowControl/>
        <w:spacing w:line="480" w:lineRule="auto"/>
        <w:ind w:firstLine="620" w:firstLineChars="200"/>
        <w:jc w:val="center"/>
        <w:rPr>
          <w:rFonts w:hint="eastAsia" w:ascii="宋体" w:hAnsi="宋体" w:eastAsia="宋体" w:cs="宋体"/>
          <w:bCs/>
          <w:spacing w:val="15"/>
          <w:sz w:val="28"/>
          <w:szCs w:val="28"/>
        </w:rPr>
      </w:pPr>
    </w:p>
    <w:p>
      <w:pPr>
        <w:widowControl/>
        <w:spacing w:line="480" w:lineRule="auto"/>
        <w:ind w:firstLine="560" w:firstLineChars="200"/>
        <w:rPr>
          <w:rFonts w:hint="default" w:ascii="Times New Roman" w:hAnsi="Times New Roman" w:eastAsia="宋体" w:cs="Times New Roman"/>
          <w:kern w:val="0"/>
          <w:sz w:val="28"/>
          <w:szCs w:val="28"/>
          <w:highlight w:val="none"/>
        </w:rPr>
      </w:pPr>
      <w:r>
        <w:rPr>
          <w:rFonts w:hint="default" w:ascii="Times New Roman" w:hAnsi="Times New Roman" w:eastAsia="宋体" w:cs="Times New Roman"/>
          <w:kern w:val="0"/>
          <w:sz w:val="28"/>
          <w:szCs w:val="28"/>
          <w:highlight w:val="none"/>
        </w:rPr>
        <w:t>202</w:t>
      </w:r>
      <w:r>
        <w:rPr>
          <w:rFonts w:hint="default" w:ascii="Times New Roman" w:hAnsi="Times New Roman" w:cs="Times New Roman"/>
          <w:kern w:val="0"/>
          <w:sz w:val="28"/>
          <w:szCs w:val="28"/>
          <w:highlight w:val="none"/>
          <w:lang w:val="en-US" w:eastAsia="zh-CN"/>
        </w:rPr>
        <w:t>5</w:t>
      </w:r>
      <w:r>
        <w:rPr>
          <w:rFonts w:hint="default" w:ascii="Times New Roman" w:hAnsi="Times New Roman" w:eastAsia="宋体" w:cs="Times New Roman"/>
          <w:kern w:val="0"/>
          <w:sz w:val="28"/>
          <w:szCs w:val="28"/>
          <w:highlight w:val="none"/>
        </w:rPr>
        <w:t>年1-</w:t>
      </w:r>
      <w:r>
        <w:rPr>
          <w:rFonts w:hint="eastAsia" w:ascii="Times New Roman" w:hAnsi="Times New Roman" w:cs="Times New Roman"/>
          <w:kern w:val="0"/>
          <w:sz w:val="28"/>
          <w:szCs w:val="28"/>
          <w:highlight w:val="none"/>
          <w:lang w:val="en-US" w:eastAsia="zh-CN"/>
        </w:rPr>
        <w:t>7</w:t>
      </w:r>
      <w:r>
        <w:rPr>
          <w:rFonts w:hint="default" w:ascii="Times New Roman" w:hAnsi="Times New Roman" w:eastAsia="宋体" w:cs="Times New Roman"/>
          <w:kern w:val="0"/>
          <w:sz w:val="28"/>
          <w:szCs w:val="28"/>
          <w:highlight w:val="none"/>
        </w:rPr>
        <w:t>月，朝阳区固定资产投资（不含农户）同比增长</w:t>
      </w:r>
      <w:r>
        <w:rPr>
          <w:rFonts w:hint="eastAsia" w:ascii="Times New Roman" w:hAnsi="Times New Roman" w:cs="Times New Roman"/>
          <w:kern w:val="0"/>
          <w:sz w:val="28"/>
          <w:szCs w:val="28"/>
          <w:highlight w:val="none"/>
          <w:lang w:val="en-US" w:eastAsia="zh-CN"/>
        </w:rPr>
        <w:t>3.3</w:t>
      </w:r>
      <w:r>
        <w:rPr>
          <w:rFonts w:hint="default" w:ascii="Times New Roman" w:hAnsi="Times New Roman" w:eastAsia="宋体" w:cs="Times New Roman"/>
          <w:kern w:val="0"/>
          <w:sz w:val="28"/>
          <w:szCs w:val="28"/>
          <w:highlight w:val="none"/>
        </w:rPr>
        <w:t>%,其中，房地产开发投资同比增长</w:t>
      </w:r>
      <w:r>
        <w:rPr>
          <w:rFonts w:hint="eastAsia" w:ascii="Times New Roman" w:hAnsi="Times New Roman" w:cs="Times New Roman"/>
          <w:kern w:val="0"/>
          <w:sz w:val="28"/>
          <w:szCs w:val="28"/>
          <w:highlight w:val="none"/>
          <w:lang w:val="en-US" w:eastAsia="zh-CN"/>
        </w:rPr>
        <w:t>1.2</w:t>
      </w:r>
      <w:r>
        <w:rPr>
          <w:rFonts w:hint="default" w:ascii="Times New Roman" w:hAnsi="Times New Roman" w:eastAsia="宋体" w:cs="Times New Roman"/>
          <w:kern w:val="0"/>
          <w:sz w:val="28"/>
          <w:szCs w:val="28"/>
          <w:highlight w:val="none"/>
        </w:rPr>
        <w:t>%。</w:t>
      </w:r>
    </w:p>
    <w:p>
      <w:pPr>
        <w:widowControl/>
        <w:spacing w:line="480" w:lineRule="auto"/>
        <w:ind w:firstLine="560" w:firstLineChars="200"/>
        <w:rPr>
          <w:rFonts w:hint="default" w:ascii="Times New Roman" w:hAnsi="Times New Roman" w:eastAsia="宋体" w:cs="Times New Roman"/>
          <w:kern w:val="0"/>
          <w:sz w:val="28"/>
          <w:szCs w:val="28"/>
          <w:highlight w:val="none"/>
        </w:rPr>
      </w:pPr>
      <w:r>
        <w:rPr>
          <w:rFonts w:hint="eastAsia" w:ascii="Times New Roman" w:hAnsi="Times New Roman" w:cs="Times New Roman"/>
          <w:kern w:val="0"/>
          <w:sz w:val="28"/>
          <w:szCs w:val="28"/>
          <w:highlight w:val="none"/>
          <w:lang w:eastAsia="zh-CN"/>
        </w:rPr>
        <w:t>从构成看，</w:t>
      </w:r>
      <w:r>
        <w:rPr>
          <w:rFonts w:hint="default" w:ascii="Times New Roman" w:hAnsi="Times New Roman" w:eastAsia="宋体" w:cs="Times New Roman"/>
          <w:kern w:val="0"/>
          <w:sz w:val="28"/>
          <w:szCs w:val="28"/>
          <w:highlight w:val="none"/>
        </w:rPr>
        <w:t>1-</w:t>
      </w:r>
      <w:r>
        <w:rPr>
          <w:rFonts w:hint="eastAsia" w:ascii="Times New Roman" w:hAnsi="Times New Roman" w:cs="Times New Roman"/>
          <w:kern w:val="0"/>
          <w:sz w:val="28"/>
          <w:szCs w:val="28"/>
          <w:highlight w:val="none"/>
          <w:lang w:val="en-US" w:eastAsia="zh-CN"/>
        </w:rPr>
        <w:t>7</w:t>
      </w:r>
      <w:r>
        <w:rPr>
          <w:rFonts w:hint="default" w:ascii="Times New Roman" w:hAnsi="Times New Roman" w:eastAsia="宋体" w:cs="Times New Roman"/>
          <w:kern w:val="0"/>
          <w:sz w:val="28"/>
          <w:szCs w:val="28"/>
          <w:highlight w:val="none"/>
        </w:rPr>
        <w:t>月，朝阳区建安投资同比增长</w:t>
      </w:r>
      <w:r>
        <w:rPr>
          <w:rFonts w:hint="eastAsia" w:ascii="Times New Roman" w:hAnsi="Times New Roman" w:cs="Times New Roman"/>
          <w:kern w:val="0"/>
          <w:sz w:val="28"/>
          <w:szCs w:val="28"/>
          <w:highlight w:val="none"/>
          <w:lang w:val="en-US" w:eastAsia="zh-CN"/>
        </w:rPr>
        <w:t>4.8</w:t>
      </w:r>
      <w:r>
        <w:rPr>
          <w:rFonts w:hint="default" w:ascii="Times New Roman" w:hAnsi="Times New Roman" w:eastAsia="宋体" w:cs="Times New Roman"/>
          <w:kern w:val="0"/>
          <w:sz w:val="28"/>
          <w:szCs w:val="28"/>
          <w:highlight w:val="none"/>
        </w:rPr>
        <w:t>%，增速</w:t>
      </w:r>
      <w:r>
        <w:rPr>
          <w:rFonts w:hint="eastAsia" w:ascii="Times New Roman" w:hAnsi="Times New Roman" w:cs="Times New Roman"/>
          <w:kern w:val="0"/>
          <w:sz w:val="28"/>
          <w:szCs w:val="28"/>
          <w:highlight w:val="none"/>
          <w:lang w:eastAsia="zh-CN"/>
        </w:rPr>
        <w:t>与</w:t>
      </w:r>
      <w:r>
        <w:rPr>
          <w:rFonts w:hint="eastAsia" w:ascii="Times New Roman" w:hAnsi="Times New Roman" w:cs="Times New Roman"/>
          <w:kern w:val="0"/>
          <w:sz w:val="28"/>
          <w:szCs w:val="28"/>
          <w:highlight w:val="none"/>
          <w:lang w:val="en-US" w:eastAsia="zh-CN"/>
        </w:rPr>
        <w:t>1-6月持平</w:t>
      </w:r>
      <w:r>
        <w:rPr>
          <w:rFonts w:hint="eastAsia" w:ascii="Times New Roman" w:hAnsi="Times New Roman" w:cs="Times New Roman"/>
          <w:kern w:val="0"/>
          <w:sz w:val="28"/>
          <w:szCs w:val="28"/>
          <w:highlight w:val="none"/>
          <w:lang w:eastAsia="zh-CN"/>
        </w:rPr>
        <w:t>；设备工器具购置</w:t>
      </w:r>
      <w:r>
        <w:rPr>
          <w:rFonts w:hint="default" w:ascii="Times New Roman" w:hAnsi="Times New Roman" w:eastAsia="宋体" w:cs="Times New Roman"/>
          <w:kern w:val="0"/>
          <w:sz w:val="28"/>
          <w:szCs w:val="28"/>
          <w:highlight w:val="none"/>
        </w:rPr>
        <w:t>同比</w:t>
      </w:r>
      <w:r>
        <w:rPr>
          <w:rFonts w:hint="eastAsia" w:ascii="Times New Roman" w:hAnsi="Times New Roman" w:cs="Times New Roman"/>
          <w:kern w:val="0"/>
          <w:sz w:val="28"/>
          <w:szCs w:val="28"/>
          <w:highlight w:val="none"/>
          <w:lang w:val="en-US" w:eastAsia="zh-CN"/>
        </w:rPr>
        <w:t>增</w:t>
      </w:r>
      <w:r>
        <w:rPr>
          <w:rFonts w:hint="default" w:ascii="Times New Roman" w:hAnsi="Times New Roman" w:eastAsia="宋体" w:cs="Times New Roman"/>
          <w:kern w:val="0"/>
          <w:sz w:val="28"/>
          <w:szCs w:val="28"/>
          <w:highlight w:val="none"/>
        </w:rPr>
        <w:t>长</w:t>
      </w:r>
      <w:r>
        <w:rPr>
          <w:rFonts w:hint="eastAsia" w:ascii="Times New Roman" w:hAnsi="Times New Roman" w:cs="Times New Roman"/>
          <w:kern w:val="0"/>
          <w:sz w:val="28"/>
          <w:szCs w:val="28"/>
          <w:highlight w:val="none"/>
          <w:lang w:val="en-US" w:eastAsia="zh-CN"/>
        </w:rPr>
        <w:t>37.0</w:t>
      </w:r>
      <w:r>
        <w:rPr>
          <w:rFonts w:hint="default" w:ascii="Times New Roman" w:hAnsi="Times New Roman" w:eastAsia="宋体" w:cs="Times New Roman"/>
          <w:kern w:val="0"/>
          <w:sz w:val="28"/>
          <w:szCs w:val="28"/>
          <w:highlight w:val="none"/>
        </w:rPr>
        <w:t>%，增速较</w:t>
      </w:r>
      <w:r>
        <w:rPr>
          <w:rFonts w:hint="eastAsia" w:ascii="Times New Roman" w:hAnsi="Times New Roman" w:cs="Times New Roman"/>
          <w:kern w:val="0"/>
          <w:sz w:val="28"/>
          <w:szCs w:val="28"/>
          <w:highlight w:val="none"/>
          <w:lang w:val="en-US" w:eastAsia="zh-CN"/>
        </w:rPr>
        <w:t>1-6月回落3.7</w:t>
      </w:r>
      <w:r>
        <w:rPr>
          <w:rFonts w:hint="default" w:ascii="Times New Roman" w:hAnsi="Times New Roman" w:eastAsia="宋体" w:cs="Times New Roman"/>
          <w:kern w:val="0"/>
          <w:sz w:val="28"/>
          <w:szCs w:val="28"/>
          <w:highlight w:val="none"/>
        </w:rPr>
        <w:t>个百分点</w:t>
      </w:r>
      <w:r>
        <w:rPr>
          <w:rFonts w:hint="eastAsia" w:ascii="Times New Roman" w:hAnsi="Times New Roman" w:cs="Times New Roman"/>
          <w:kern w:val="0"/>
          <w:sz w:val="28"/>
          <w:szCs w:val="28"/>
          <w:highlight w:val="none"/>
          <w:lang w:eastAsia="zh-CN"/>
        </w:rPr>
        <w:t>；其他费用投资</w:t>
      </w:r>
      <w:r>
        <w:rPr>
          <w:rFonts w:hint="default" w:ascii="Times New Roman" w:hAnsi="Times New Roman" w:eastAsia="宋体" w:cs="Times New Roman"/>
          <w:kern w:val="0"/>
          <w:sz w:val="28"/>
          <w:szCs w:val="28"/>
          <w:highlight w:val="none"/>
        </w:rPr>
        <w:t>同比</w:t>
      </w:r>
      <w:r>
        <w:rPr>
          <w:rFonts w:hint="eastAsia" w:ascii="Times New Roman" w:hAnsi="Times New Roman" w:cs="Times New Roman"/>
          <w:kern w:val="0"/>
          <w:sz w:val="28"/>
          <w:szCs w:val="28"/>
          <w:highlight w:val="none"/>
          <w:lang w:val="en-US" w:eastAsia="zh-CN"/>
        </w:rPr>
        <w:t>下降3.6</w:t>
      </w:r>
      <w:r>
        <w:rPr>
          <w:rFonts w:hint="default" w:ascii="Times New Roman" w:hAnsi="Times New Roman" w:eastAsia="宋体" w:cs="Times New Roman"/>
          <w:kern w:val="0"/>
          <w:sz w:val="28"/>
          <w:szCs w:val="28"/>
          <w:highlight w:val="none"/>
        </w:rPr>
        <w:t>%，</w:t>
      </w:r>
      <w:r>
        <w:rPr>
          <w:rFonts w:hint="eastAsia" w:ascii="Times New Roman" w:hAnsi="Times New Roman" w:cs="Times New Roman"/>
          <w:kern w:val="0"/>
          <w:sz w:val="28"/>
          <w:szCs w:val="28"/>
          <w:highlight w:val="none"/>
          <w:lang w:eastAsia="zh-CN"/>
        </w:rPr>
        <w:t>降幅</w:t>
      </w:r>
      <w:r>
        <w:rPr>
          <w:rFonts w:hint="default" w:ascii="Times New Roman" w:hAnsi="Times New Roman" w:eastAsia="宋体" w:cs="Times New Roman"/>
          <w:kern w:val="0"/>
          <w:sz w:val="28"/>
          <w:szCs w:val="28"/>
          <w:highlight w:val="none"/>
        </w:rPr>
        <w:t>较</w:t>
      </w:r>
      <w:r>
        <w:rPr>
          <w:rFonts w:hint="eastAsia" w:ascii="Times New Roman" w:hAnsi="Times New Roman" w:cs="Times New Roman"/>
          <w:kern w:val="0"/>
          <w:sz w:val="28"/>
          <w:szCs w:val="28"/>
          <w:highlight w:val="none"/>
          <w:lang w:val="en-US" w:eastAsia="zh-CN"/>
        </w:rPr>
        <w:t>1-6月收窄2.2</w:t>
      </w:r>
      <w:r>
        <w:rPr>
          <w:rFonts w:hint="default" w:ascii="Times New Roman" w:hAnsi="Times New Roman" w:eastAsia="宋体" w:cs="Times New Roman"/>
          <w:kern w:val="0"/>
          <w:sz w:val="28"/>
          <w:szCs w:val="28"/>
          <w:highlight w:val="none"/>
        </w:rPr>
        <w:t>个百分点。</w:t>
      </w:r>
    </w:p>
    <w:p>
      <w:pPr>
        <w:widowControl/>
        <w:spacing w:line="300" w:lineRule="atLeast"/>
        <w:jc w:val="center"/>
        <w:rPr>
          <w:rFonts w:hint="eastAsia" w:ascii="宋体" w:hAnsi="宋体" w:eastAsia="宋体" w:cs="宋体"/>
          <w:b/>
          <w:bCs/>
          <w:kern w:val="0"/>
          <w:sz w:val="28"/>
          <w:szCs w:val="28"/>
        </w:rPr>
      </w:pPr>
      <w:r>
        <w:rPr>
          <w:rFonts w:hint="default" w:ascii="Times New Roman" w:hAnsi="Times New Roman" w:cs="Times New Roman"/>
          <w:b/>
          <w:bCs/>
          <w:kern w:val="0"/>
          <w:sz w:val="28"/>
          <w:szCs w:val="28"/>
          <w:lang w:eastAsia="zh-CN"/>
        </w:rPr>
        <w:t>表</w:t>
      </w:r>
      <w:r>
        <w:rPr>
          <w:rFonts w:hint="default" w:ascii="Times New Roman" w:hAnsi="Times New Roman" w:eastAsia="宋体" w:cs="Times New Roman"/>
          <w:b/>
          <w:bCs/>
          <w:kern w:val="0"/>
          <w:sz w:val="28"/>
          <w:szCs w:val="28"/>
        </w:rPr>
        <w:t>　202</w:t>
      </w:r>
      <w:r>
        <w:rPr>
          <w:rFonts w:hint="default" w:ascii="Times New Roman" w:hAnsi="Times New Roman" w:cs="Times New Roman"/>
          <w:b/>
          <w:bCs/>
          <w:kern w:val="0"/>
          <w:sz w:val="28"/>
          <w:szCs w:val="28"/>
          <w:lang w:val="en-US" w:eastAsia="zh-CN"/>
        </w:rPr>
        <w:t>5</w:t>
      </w:r>
      <w:r>
        <w:rPr>
          <w:rFonts w:hint="default" w:ascii="Times New Roman" w:hAnsi="Times New Roman" w:eastAsia="宋体" w:cs="Times New Roman"/>
          <w:b/>
          <w:bCs/>
          <w:kern w:val="0"/>
          <w:sz w:val="28"/>
          <w:szCs w:val="28"/>
        </w:rPr>
        <w:t>年1-</w:t>
      </w:r>
      <w:r>
        <w:rPr>
          <w:rFonts w:hint="eastAsia" w:ascii="Times New Roman" w:hAnsi="Times New Roman" w:cs="Times New Roman"/>
          <w:b/>
          <w:bCs/>
          <w:kern w:val="0"/>
          <w:sz w:val="28"/>
          <w:szCs w:val="28"/>
          <w:lang w:val="en-US" w:eastAsia="zh-CN"/>
        </w:rPr>
        <w:t>7</w:t>
      </w:r>
      <w:r>
        <w:rPr>
          <w:rFonts w:hint="default" w:ascii="Times New Roman" w:hAnsi="Times New Roman" w:eastAsia="宋体" w:cs="Times New Roman"/>
          <w:b/>
          <w:bCs/>
          <w:kern w:val="0"/>
          <w:sz w:val="28"/>
          <w:szCs w:val="28"/>
        </w:rPr>
        <w:t>月</w:t>
      </w:r>
      <w:r>
        <w:rPr>
          <w:rFonts w:hint="eastAsia" w:ascii="宋体" w:hAnsi="宋体" w:eastAsia="宋体" w:cs="宋体"/>
          <w:b/>
          <w:bCs/>
          <w:kern w:val="0"/>
          <w:sz w:val="28"/>
          <w:szCs w:val="28"/>
        </w:rPr>
        <w:t>朝阳区固定资产投资</w:t>
      </w:r>
      <w:r>
        <w:rPr>
          <w:rFonts w:hint="eastAsia" w:ascii="宋体" w:hAnsi="宋体" w:cs="宋体"/>
          <w:b/>
          <w:bCs/>
          <w:kern w:val="0"/>
          <w:sz w:val="28"/>
          <w:szCs w:val="28"/>
          <w:lang w:eastAsia="zh-CN"/>
        </w:rPr>
        <w:t>增速</w:t>
      </w:r>
      <w:r>
        <w:rPr>
          <w:rFonts w:hint="eastAsia" w:ascii="宋体" w:hAnsi="宋体" w:eastAsia="宋体" w:cs="宋体"/>
          <w:b/>
          <w:bCs/>
          <w:kern w:val="0"/>
          <w:sz w:val="28"/>
          <w:szCs w:val="28"/>
        </w:rPr>
        <w:t>情况</w:t>
      </w:r>
    </w:p>
    <w:tbl>
      <w:tblPr>
        <w:tblStyle w:val="8"/>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230"/>
        <w:gridCol w:w="31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5230" w:type="dxa"/>
            <w:shd w:val="clear" w:color="auto" w:fill="auto"/>
            <w:vAlign w:val="center"/>
          </w:tcPr>
          <w:p>
            <w:pPr>
              <w:rPr>
                <w:rFonts w:hint="eastAsia" w:ascii="宋体" w:hAnsi="宋体" w:eastAsia="宋体" w:cs="宋体"/>
                <w:i w:val="0"/>
                <w:color w:val="000000"/>
                <w:sz w:val="22"/>
                <w:szCs w:val="22"/>
                <w:u w:val="none"/>
              </w:rPr>
            </w:pPr>
          </w:p>
        </w:tc>
        <w:tc>
          <w:tcPr>
            <w:tcW w:w="3106"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9" w:hRule="atLeast"/>
        </w:trPr>
        <w:tc>
          <w:tcPr>
            <w:tcW w:w="523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指 标</w:t>
            </w:r>
            <w:r>
              <w:rPr>
                <w:rStyle w:val="12"/>
                <w:lang w:val="en-US" w:eastAsia="zh-CN" w:bidi="ar"/>
              </w:rPr>
              <w:t xml:space="preserve"> 名 称</w:t>
            </w:r>
          </w:p>
        </w:tc>
        <w:tc>
          <w:tcPr>
            <w:tcW w:w="310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累 计 增 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9" w:hRule="atLeast"/>
        </w:trPr>
        <w:tc>
          <w:tcPr>
            <w:tcW w:w="523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固定资产投资（不含农户）</w:t>
            </w:r>
          </w:p>
        </w:tc>
        <w:tc>
          <w:tcPr>
            <w:tcW w:w="3106"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right="1394" w:rightChars="664"/>
              <w:jc w:val="right"/>
              <w:textAlignment w:val="auto"/>
              <w:rPr>
                <w:rFonts w:hint="default" w:ascii="Times New Roman" w:hAnsi="Times New Roman" w:eastAsia="宋体" w:cs="Times New Roman"/>
                <w:i w:val="0"/>
                <w:color w:val="000000"/>
                <w:sz w:val="22"/>
                <w:szCs w:val="22"/>
                <w:u w:val="none"/>
              </w:rPr>
            </w:pPr>
            <w:r>
              <w:rPr>
                <w:rFonts w:hint="eastAsia" w:ascii="Times New Roman" w:hAnsi="Times New Roman" w:cs="Times New Roman"/>
                <w:kern w:val="0"/>
                <w:sz w:val="22"/>
                <w:szCs w:val="22"/>
                <w:vertAlign w:val="baseline"/>
                <w:lang w:val="en-US" w:eastAsia="zh-CN"/>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9" w:hRule="atLeast"/>
        </w:trPr>
        <w:tc>
          <w:tcPr>
            <w:tcW w:w="8336" w:type="dxa"/>
            <w:gridSpan w:val="2"/>
            <w:tcBorders>
              <w:top w:val="single" w:color="000000" w:sz="4" w:space="0"/>
              <w:bottom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ind w:left="0" w:leftChars="0" w:right="1394" w:rightChars="664" w:firstLine="0" w:firstLineChars="0"/>
              <w:jc w:val="left"/>
              <w:textAlignment w:val="center"/>
              <w:rPr>
                <w:rFonts w:hint="default" w:ascii="Times New Roman" w:hAnsi="Times New Roman" w:eastAsia="宋体" w:cs="Times New Roman"/>
                <w:i w:val="0"/>
                <w:color w:val="000000"/>
                <w:sz w:val="22"/>
                <w:szCs w:val="22"/>
                <w:u w:val="none"/>
              </w:rPr>
            </w:pPr>
            <w:r>
              <w:rPr>
                <w:rFonts w:hint="eastAsia" w:ascii="宋体" w:hAnsi="宋体" w:eastAsia="宋体" w:cs="宋体"/>
                <w:i w:val="0"/>
                <w:color w:val="000000"/>
                <w:kern w:val="0"/>
                <w:sz w:val="22"/>
                <w:szCs w:val="22"/>
                <w:u w:val="none"/>
                <w:lang w:val="en-US" w:eastAsia="zh-CN" w:bidi="ar"/>
              </w:rPr>
              <w:t>按构成分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9" w:hRule="atLeast"/>
        </w:trPr>
        <w:tc>
          <w:tcPr>
            <w:tcW w:w="523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其中：建安投资</w:t>
            </w:r>
          </w:p>
        </w:tc>
        <w:tc>
          <w:tcPr>
            <w:tcW w:w="3106"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right="1394" w:rightChars="664"/>
              <w:jc w:val="right"/>
              <w:textAlignment w:val="auto"/>
              <w:rPr>
                <w:rFonts w:hint="default" w:ascii="Times New Roman" w:hAnsi="Times New Roman" w:eastAsia="宋体" w:cs="Times New Roman"/>
                <w:i w:val="0"/>
                <w:color w:val="000000"/>
                <w:sz w:val="22"/>
                <w:szCs w:val="22"/>
                <w:u w:val="none"/>
              </w:rPr>
            </w:pPr>
            <w:r>
              <w:rPr>
                <w:rFonts w:hint="eastAsia" w:ascii="Times New Roman" w:hAnsi="Times New Roman" w:cs="Times New Roman"/>
                <w:kern w:val="0"/>
                <w:sz w:val="22"/>
                <w:szCs w:val="22"/>
                <w:vertAlign w:val="baseline"/>
                <w:lang w:val="en-US" w:eastAsia="zh-CN"/>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9" w:hRule="atLeast"/>
        </w:trPr>
        <w:tc>
          <w:tcPr>
            <w:tcW w:w="523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5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设备工器具购置</w:t>
            </w:r>
          </w:p>
        </w:tc>
        <w:tc>
          <w:tcPr>
            <w:tcW w:w="3106"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right="1394" w:rightChars="664"/>
              <w:jc w:val="right"/>
              <w:textAlignment w:val="auto"/>
              <w:rPr>
                <w:rFonts w:hint="eastAsia" w:ascii="Times New Roman" w:hAnsi="Times New Roman" w:eastAsia="宋体" w:cs="Times New Roman"/>
                <w:i w:val="0"/>
                <w:color w:val="000000"/>
                <w:sz w:val="22"/>
                <w:szCs w:val="22"/>
                <w:u w:val="none"/>
                <w:lang w:val="en-US" w:eastAsia="zh-CN"/>
              </w:rPr>
            </w:pPr>
            <w:r>
              <w:rPr>
                <w:rFonts w:hint="eastAsia" w:ascii="Times New Roman" w:hAnsi="Times New Roman" w:cs="Times New Roman"/>
                <w:i w:val="0"/>
                <w:color w:val="000000"/>
                <w:sz w:val="22"/>
                <w:szCs w:val="22"/>
                <w:u w:val="none"/>
                <w:lang w:val="en-US" w:eastAsia="zh-CN"/>
              </w:rPr>
              <w:t>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9" w:hRule="atLeast"/>
        </w:trPr>
        <w:tc>
          <w:tcPr>
            <w:tcW w:w="523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5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其他费用</w:t>
            </w:r>
          </w:p>
        </w:tc>
        <w:tc>
          <w:tcPr>
            <w:tcW w:w="3106"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right="1394" w:rightChars="664"/>
              <w:jc w:val="right"/>
              <w:textAlignment w:val="auto"/>
              <w:rPr>
                <w:rFonts w:hint="default" w:ascii="Times New Roman" w:hAnsi="Times New Roman" w:eastAsia="宋体" w:cs="Times New Roman"/>
                <w:i w:val="0"/>
                <w:color w:val="000000"/>
                <w:sz w:val="22"/>
                <w:szCs w:val="22"/>
                <w:u w:val="none"/>
              </w:rPr>
            </w:pPr>
            <w:r>
              <w:rPr>
                <w:rFonts w:hint="eastAsia" w:ascii="Times New Roman" w:hAnsi="Times New Roman" w:cs="Times New Roman"/>
                <w:kern w:val="0"/>
                <w:sz w:val="22"/>
                <w:szCs w:val="22"/>
                <w:vertAlign w:val="baseline"/>
                <w:lang w:val="en-US" w:eastAsia="zh-CN"/>
              </w:rPr>
              <w:t>-3.6</w:t>
            </w:r>
            <w:bookmarkStart w:id="0" w:name="_GoBack"/>
            <w:bookmarkEnd w:id="0"/>
          </w:p>
        </w:tc>
      </w:tr>
    </w:tbl>
    <w:p>
      <w:pPr>
        <w:spacing w:line="480" w:lineRule="auto"/>
        <w:rPr>
          <w:rFonts w:hint="eastAsia" w:ascii="宋体" w:hAnsi="宋体" w:cs="宋体"/>
          <w:b/>
          <w:bCs/>
          <w:kern w:val="0"/>
          <w:sz w:val="28"/>
          <w:szCs w:val="28"/>
        </w:rPr>
      </w:pPr>
    </w:p>
    <w:p>
      <w:pPr>
        <w:spacing w:line="480" w:lineRule="auto"/>
        <w:ind w:firstLine="562" w:firstLineChars="200"/>
        <w:rPr>
          <w:rFonts w:ascii="宋体" w:hAnsi="宋体" w:cs="宋体"/>
          <w:b/>
          <w:bCs/>
          <w:kern w:val="0"/>
          <w:szCs w:val="21"/>
        </w:rPr>
      </w:pPr>
      <w:r>
        <w:rPr>
          <w:rFonts w:hint="eastAsia" w:ascii="宋体" w:hAnsi="宋体" w:cs="宋体"/>
          <w:b/>
          <w:bCs/>
          <w:kern w:val="0"/>
          <w:sz w:val="28"/>
          <w:szCs w:val="28"/>
        </w:rPr>
        <w:t>附注：</w:t>
      </w:r>
    </w:p>
    <w:p>
      <w:pPr>
        <w:spacing w:line="480" w:lineRule="auto"/>
        <w:ind w:firstLine="562" w:firstLineChars="200"/>
        <w:rPr>
          <w:rFonts w:ascii="宋体" w:hAnsi="宋体"/>
          <w:b/>
          <w:bCs/>
          <w:sz w:val="28"/>
          <w:szCs w:val="28"/>
        </w:rPr>
      </w:pPr>
      <w:r>
        <w:rPr>
          <w:rFonts w:hint="eastAsia" w:ascii="宋体" w:hAnsi="宋体"/>
          <w:b/>
          <w:bCs/>
          <w:sz w:val="28"/>
          <w:szCs w:val="28"/>
        </w:rPr>
        <w:t>一、统计范围</w:t>
      </w:r>
    </w:p>
    <w:p>
      <w:pPr>
        <w:spacing w:after="0" w:line="480" w:lineRule="auto"/>
        <w:ind w:firstLine="570"/>
        <w:rPr>
          <w:rFonts w:hint="eastAsia" w:ascii="宋体" w:hAnsi="宋体"/>
          <w:color w:val="000000"/>
          <w:sz w:val="28"/>
          <w:szCs w:val="28"/>
          <w:lang w:eastAsia="zh-CN"/>
        </w:rPr>
      </w:pPr>
      <w:r>
        <w:rPr>
          <w:rFonts w:hint="eastAsia" w:ascii="宋体" w:hAnsi="宋体"/>
          <w:color w:val="000000"/>
          <w:sz w:val="28"/>
          <w:szCs w:val="28"/>
          <w:lang w:eastAsia="zh-CN"/>
        </w:rPr>
        <w:t>计划总投资500万元及以上固定资产投资项目的各种登记注册统计类别的单位及个体经营户、有开发经营活动的全部房地产开发经营业法人单位。</w:t>
      </w:r>
    </w:p>
    <w:p>
      <w:pPr>
        <w:spacing w:line="480" w:lineRule="auto"/>
        <w:ind w:firstLine="562" w:firstLineChars="200"/>
        <w:rPr>
          <w:rFonts w:ascii="宋体" w:hAnsi="宋体"/>
          <w:sz w:val="28"/>
          <w:szCs w:val="28"/>
        </w:rPr>
      </w:pPr>
      <w:r>
        <w:rPr>
          <w:rFonts w:hint="eastAsia" w:ascii="宋体" w:hAnsi="宋体"/>
          <w:b/>
          <w:bCs/>
          <w:sz w:val="28"/>
          <w:szCs w:val="28"/>
        </w:rPr>
        <w:t>二、采集渠道</w:t>
      </w:r>
    </w:p>
    <w:p>
      <w:pPr>
        <w:numPr>
          <w:ilvl w:val="0"/>
          <w:numId w:val="0"/>
        </w:numPr>
        <w:spacing w:after="0" w:line="480" w:lineRule="auto"/>
        <w:ind w:firstLine="560" w:firstLineChars="200"/>
        <w:rPr>
          <w:rFonts w:hint="eastAsia" w:ascii="宋体" w:hAnsi="宋体"/>
          <w:color w:val="000000"/>
          <w:sz w:val="28"/>
          <w:szCs w:val="28"/>
          <w:lang w:eastAsia="zh-CN"/>
        </w:rPr>
      </w:pPr>
      <w:r>
        <w:rPr>
          <w:rFonts w:hint="eastAsia" w:ascii="宋体" w:hAnsi="宋体"/>
          <w:color w:val="000000"/>
          <w:sz w:val="28"/>
          <w:szCs w:val="28"/>
          <w:lang w:eastAsia="zh-CN"/>
        </w:rPr>
        <w:t>符合统计范围的固定资产投资项目单位按照《固定资产投资统计报表制度》、《房地产开发统计报表制度》的要求，通过统计联网直报平台上报统计数据。</w:t>
      </w:r>
    </w:p>
    <w:p>
      <w:pPr>
        <w:spacing w:line="480" w:lineRule="auto"/>
        <w:ind w:firstLine="562" w:firstLineChars="200"/>
        <w:rPr>
          <w:rFonts w:ascii="宋体" w:hAnsi="宋体"/>
          <w:b/>
          <w:bCs/>
          <w:sz w:val="28"/>
          <w:szCs w:val="28"/>
        </w:rPr>
      </w:pPr>
      <w:r>
        <w:rPr>
          <w:rFonts w:hint="eastAsia" w:ascii="宋体" w:hAnsi="宋体"/>
          <w:b/>
          <w:bCs/>
          <w:sz w:val="28"/>
          <w:szCs w:val="28"/>
        </w:rPr>
        <w:t>三、指标解释</w:t>
      </w:r>
    </w:p>
    <w:p>
      <w:pPr>
        <w:spacing w:line="480" w:lineRule="auto"/>
        <w:ind w:firstLine="562" w:firstLineChars="200"/>
        <w:rPr>
          <w:rFonts w:ascii="宋体" w:hAnsi="宋体"/>
          <w:sz w:val="28"/>
          <w:szCs w:val="28"/>
        </w:rPr>
      </w:pPr>
      <w:r>
        <w:rPr>
          <w:rFonts w:hint="eastAsia" w:ascii="宋体" w:hAnsi="宋体"/>
          <w:b/>
          <w:sz w:val="28"/>
          <w:szCs w:val="28"/>
        </w:rPr>
        <w:t>固定资产投资：</w:t>
      </w:r>
      <w:r>
        <w:rPr>
          <w:rFonts w:hint="eastAsia" w:ascii="宋体" w:hAnsi="宋体"/>
          <w:sz w:val="28"/>
          <w:szCs w:val="28"/>
          <w:lang w:eastAsia="zh-CN"/>
        </w:rPr>
        <w:t>指</w:t>
      </w:r>
      <w:r>
        <w:rPr>
          <w:rFonts w:hint="eastAsia" w:ascii="宋体" w:hAnsi="宋体"/>
          <w:sz w:val="28"/>
          <w:szCs w:val="28"/>
        </w:rPr>
        <w:t>以货币形式表现的在一定时期内建造和购置固定资产的工作量以及与此有关的费用的总称。</w:t>
      </w:r>
    </w:p>
    <w:p>
      <w:pPr>
        <w:spacing w:line="480" w:lineRule="auto"/>
        <w:ind w:firstLine="562" w:firstLineChars="200"/>
        <w:rPr>
          <w:rFonts w:hint="eastAsia" w:ascii="宋体" w:hAnsi="宋体" w:eastAsia="宋体"/>
          <w:sz w:val="28"/>
          <w:szCs w:val="28"/>
          <w:lang w:eastAsia="zh-CN"/>
        </w:rPr>
      </w:pPr>
      <w:r>
        <w:rPr>
          <w:rFonts w:hint="eastAsia" w:ascii="宋体" w:hAnsi="宋体"/>
          <w:b/>
          <w:sz w:val="28"/>
          <w:szCs w:val="28"/>
        </w:rPr>
        <w:t>房地产开发投资：</w:t>
      </w:r>
      <w:r>
        <w:rPr>
          <w:rFonts w:hint="eastAsia" w:ascii="宋体" w:hAnsi="宋体"/>
          <w:sz w:val="28"/>
          <w:szCs w:val="28"/>
        </w:rPr>
        <w:t>指</w:t>
      </w:r>
      <w:r>
        <w:rPr>
          <w:rFonts w:hint="eastAsia" w:ascii="宋体" w:hAnsi="宋体"/>
          <w:sz w:val="28"/>
          <w:szCs w:val="28"/>
          <w:lang w:eastAsia="zh-CN"/>
        </w:rPr>
        <w:t>各种登记注册统计类别的房地产开发法人单位统一开发的住宅、饭店、宾馆、度假村、写字楼、办公楼等房屋建筑物，配套的服务设施，土地开发工程和土地购置的投资。</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汉仪中黑 197">
    <w:panose1 w:val="00020600040101010101"/>
    <w:charset w:val="86"/>
    <w:family w:val="auto"/>
    <w:pitch w:val="default"/>
    <w:sig w:usb0="A00002BF" w:usb1="18EF7CFA" w:usb2="00000016" w:usb3="00000000" w:csb0="0004009F" w:csb1="00000000"/>
  </w:font>
  <w:font w:name="隶书">
    <w:panose1 w:val="0201050906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Che">
    <w:panose1 w:val="020B0609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algun Gothic">
    <w:panose1 w:val="020B0503020000020004"/>
    <w:charset w:val="81"/>
    <w:family w:val="auto"/>
    <w:pitch w:val="default"/>
    <w:sig w:usb0="900002AF" w:usb1="01D77CFB" w:usb2="00000012" w:usb3="00000000" w:csb0="00080001" w:csb1="00000000"/>
  </w:font>
  <w:font w:name="Meiryo">
    <w:panose1 w:val="020B0604030504040204"/>
    <w:charset w:val="80"/>
    <w:family w:val="auto"/>
    <w:pitch w:val="default"/>
    <w:sig w:usb0="E10102FF" w:usb1="EAC7FFFF" w:usb2="00010012" w:usb3="00000000" w:csb0="6002009F" w:csb1="DFD70000"/>
  </w:font>
  <w:font w:name="Meiryo UI">
    <w:panose1 w:val="020B0604030504040204"/>
    <w:charset w:val="80"/>
    <w:family w:val="auto"/>
    <w:pitch w:val="default"/>
    <w:sig w:usb0="E10102FF" w:usb1="EAC7FFFF" w:usb2="00010012" w:usb3="00000000" w:csb0="6002009F" w:csb1="DFD70000"/>
  </w:font>
  <w:font w:name="Microsoft JhengHei">
    <w:panose1 w:val="020B0604030504040204"/>
    <w:charset w:val="88"/>
    <w:family w:val="auto"/>
    <w:pitch w:val="default"/>
    <w:sig w:usb0="00000087" w:usb1="28AF4000" w:usb2="00000016" w:usb3="00000000" w:csb0="00100009" w:csb1="00000000"/>
  </w:font>
  <w:font w:name="Microsoft JhengHei UI">
    <w:panose1 w:val="020B0604030504040204"/>
    <w:charset w:val="88"/>
    <w:family w:val="auto"/>
    <w:pitch w:val="default"/>
    <w:sig w:usb0="00000087" w:usb1="28AF4000" w:usb2="00000016" w:usb3="00000000" w:csb0="00100009" w:csb1="00000000"/>
  </w:font>
  <w:font w:name="Wingdings 3">
    <w:panose1 w:val="05040102010807070707"/>
    <w:charset w:val="00"/>
    <w:family w:val="auto"/>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 w:name="Webdings">
    <w:panose1 w:val="05030102010509060703"/>
    <w:charset w:val="00"/>
    <w:family w:val="auto"/>
    <w:pitch w:val="default"/>
    <w:sig w:usb0="00000000" w:usb1="00000000" w:usb2="00000000" w:usb3="00000000" w:csb0="80000000" w:csb1="00000000"/>
  </w:font>
  <w:font w:name="Vrinda">
    <w:panose1 w:val="020B0502040204020203"/>
    <w:charset w:val="00"/>
    <w:family w:val="auto"/>
    <w:pitch w:val="default"/>
    <w:sig w:usb0="00010003" w:usb1="00000000" w:usb2="00000000" w:usb3="00000000" w:csb0="00000001" w:csb1="00000000"/>
  </w:font>
  <w:font w:name="Tempus Sans ITC">
    <w:panose1 w:val="04020404030D07020202"/>
    <w:charset w:val="00"/>
    <w:family w:val="auto"/>
    <w:pitch w:val="default"/>
    <w:sig w:usb0="00000003" w:usb1="00000000" w:usb2="00000000" w:usb3="00000000" w:csb0="20000001" w:csb1="00000000"/>
  </w:font>
  <w:font w:name="CESI小标宋-GB18030">
    <w:panose1 w:val="02000500000000000000"/>
    <w:charset w:val="86"/>
    <w:family w:val="auto"/>
    <w:pitch w:val="default"/>
    <w:sig w:usb0="A00002BF" w:usb1="38CF7CFA" w:usb2="00000016" w:usb3="00000000" w:csb0="0004000F" w:csb1="00000000"/>
  </w:font>
  <w:font w:name="MS UI Gothic">
    <w:panose1 w:val="020B0600070205080204"/>
    <w:charset w:val="80"/>
    <w:family w:val="auto"/>
    <w:pitch w:val="default"/>
    <w:sig w:usb0="E00002FF" w:usb1="6AC7FDFB" w:usb2="00000012" w:usb3="00000000" w:csb0="4002009F" w:csb1="DFD7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Segoe UI Symbol">
    <w:panose1 w:val="020B0502040204020203"/>
    <w:charset w:val="00"/>
    <w:family w:val="auto"/>
    <w:pitch w:val="default"/>
    <w:sig w:usb0="8000006F" w:usb1="1200FBEF" w:usb2="0064C000" w:usb3="00000002" w:csb0="00000001" w:csb1="40000000"/>
  </w:font>
  <w:font w:name="Gabriola">
    <w:panose1 w:val="04040605051002020D02"/>
    <w:charset w:val="00"/>
    <w:family w:val="auto"/>
    <w:pitch w:val="default"/>
    <w:sig w:usb0="E00002EF" w:usb1="5000204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Q4MjU3N2U1ZjUxNzU5NjQ2NmU3NmVlMzIwN2FmYmYifQ=="/>
  </w:docVars>
  <w:rsids>
    <w:rsidRoot w:val="0034405F"/>
    <w:rsid w:val="00003B76"/>
    <w:rsid w:val="000040F2"/>
    <w:rsid w:val="000045FA"/>
    <w:rsid w:val="00010581"/>
    <w:rsid w:val="00015AC0"/>
    <w:rsid w:val="00032E1B"/>
    <w:rsid w:val="000368B8"/>
    <w:rsid w:val="0004519C"/>
    <w:rsid w:val="00045D45"/>
    <w:rsid w:val="00047707"/>
    <w:rsid w:val="00054586"/>
    <w:rsid w:val="00056C28"/>
    <w:rsid w:val="000631DE"/>
    <w:rsid w:val="00064597"/>
    <w:rsid w:val="00065815"/>
    <w:rsid w:val="0007053D"/>
    <w:rsid w:val="0007500B"/>
    <w:rsid w:val="00082165"/>
    <w:rsid w:val="00084E4C"/>
    <w:rsid w:val="00094BA7"/>
    <w:rsid w:val="00096C42"/>
    <w:rsid w:val="000A21C1"/>
    <w:rsid w:val="000B0B27"/>
    <w:rsid w:val="000B3F4C"/>
    <w:rsid w:val="000B4C04"/>
    <w:rsid w:val="000C5C85"/>
    <w:rsid w:val="000D1A97"/>
    <w:rsid w:val="000D3AEA"/>
    <w:rsid w:val="000D73A0"/>
    <w:rsid w:val="000D7D71"/>
    <w:rsid w:val="000E0178"/>
    <w:rsid w:val="000E3768"/>
    <w:rsid w:val="000E61E2"/>
    <w:rsid w:val="000F1365"/>
    <w:rsid w:val="000F1EA8"/>
    <w:rsid w:val="000F3C38"/>
    <w:rsid w:val="000F553B"/>
    <w:rsid w:val="00104783"/>
    <w:rsid w:val="0010664A"/>
    <w:rsid w:val="00111499"/>
    <w:rsid w:val="00117E3F"/>
    <w:rsid w:val="00127E1E"/>
    <w:rsid w:val="00132E82"/>
    <w:rsid w:val="00141006"/>
    <w:rsid w:val="0015028C"/>
    <w:rsid w:val="0016261B"/>
    <w:rsid w:val="001662C1"/>
    <w:rsid w:val="0016748C"/>
    <w:rsid w:val="00175617"/>
    <w:rsid w:val="00175AED"/>
    <w:rsid w:val="00177F75"/>
    <w:rsid w:val="00181610"/>
    <w:rsid w:val="00190C1C"/>
    <w:rsid w:val="001A5966"/>
    <w:rsid w:val="001B4C03"/>
    <w:rsid w:val="001C2D04"/>
    <w:rsid w:val="001C3842"/>
    <w:rsid w:val="001D3BD8"/>
    <w:rsid w:val="001F5891"/>
    <w:rsid w:val="002011BF"/>
    <w:rsid w:val="00207DFD"/>
    <w:rsid w:val="002100CF"/>
    <w:rsid w:val="00211257"/>
    <w:rsid w:val="00213983"/>
    <w:rsid w:val="00220273"/>
    <w:rsid w:val="00225E37"/>
    <w:rsid w:val="00246D9B"/>
    <w:rsid w:val="00250051"/>
    <w:rsid w:val="002552B0"/>
    <w:rsid w:val="00257C60"/>
    <w:rsid w:val="00267EA2"/>
    <w:rsid w:val="00283D89"/>
    <w:rsid w:val="00285EA5"/>
    <w:rsid w:val="002931C0"/>
    <w:rsid w:val="002A08C3"/>
    <w:rsid w:val="002A1C79"/>
    <w:rsid w:val="002B0540"/>
    <w:rsid w:val="002C715F"/>
    <w:rsid w:val="002D3376"/>
    <w:rsid w:val="002E48A9"/>
    <w:rsid w:val="00303C98"/>
    <w:rsid w:val="00304C5F"/>
    <w:rsid w:val="003209A8"/>
    <w:rsid w:val="0032291E"/>
    <w:rsid w:val="00327A78"/>
    <w:rsid w:val="00332B8C"/>
    <w:rsid w:val="00335344"/>
    <w:rsid w:val="00337D49"/>
    <w:rsid w:val="00343FF0"/>
    <w:rsid w:val="0034405F"/>
    <w:rsid w:val="003461FA"/>
    <w:rsid w:val="00354CB8"/>
    <w:rsid w:val="00362EBF"/>
    <w:rsid w:val="00364667"/>
    <w:rsid w:val="003730FE"/>
    <w:rsid w:val="00381AF4"/>
    <w:rsid w:val="00381F3A"/>
    <w:rsid w:val="00392C70"/>
    <w:rsid w:val="003A0CB4"/>
    <w:rsid w:val="003A65EE"/>
    <w:rsid w:val="003B12E7"/>
    <w:rsid w:val="003C66D6"/>
    <w:rsid w:val="003C6EB6"/>
    <w:rsid w:val="004006A5"/>
    <w:rsid w:val="00402FB3"/>
    <w:rsid w:val="0041601C"/>
    <w:rsid w:val="00421F84"/>
    <w:rsid w:val="004317D1"/>
    <w:rsid w:val="00455ED8"/>
    <w:rsid w:val="00460751"/>
    <w:rsid w:val="00477210"/>
    <w:rsid w:val="00477D6A"/>
    <w:rsid w:val="00483DCB"/>
    <w:rsid w:val="004A1A10"/>
    <w:rsid w:val="004A4561"/>
    <w:rsid w:val="004A78F6"/>
    <w:rsid w:val="004B346C"/>
    <w:rsid w:val="004B38DD"/>
    <w:rsid w:val="004C0008"/>
    <w:rsid w:val="004C3ACC"/>
    <w:rsid w:val="004C7120"/>
    <w:rsid w:val="004E5873"/>
    <w:rsid w:val="004E6193"/>
    <w:rsid w:val="0050027C"/>
    <w:rsid w:val="0050222E"/>
    <w:rsid w:val="00502319"/>
    <w:rsid w:val="00503057"/>
    <w:rsid w:val="005058B5"/>
    <w:rsid w:val="0050651C"/>
    <w:rsid w:val="00513755"/>
    <w:rsid w:val="00517AD1"/>
    <w:rsid w:val="0052192E"/>
    <w:rsid w:val="00525A45"/>
    <w:rsid w:val="005262DC"/>
    <w:rsid w:val="0053150C"/>
    <w:rsid w:val="00551DEC"/>
    <w:rsid w:val="00556936"/>
    <w:rsid w:val="00573EEB"/>
    <w:rsid w:val="00576E2A"/>
    <w:rsid w:val="00577F74"/>
    <w:rsid w:val="00583C2C"/>
    <w:rsid w:val="00590911"/>
    <w:rsid w:val="00593027"/>
    <w:rsid w:val="00593DAE"/>
    <w:rsid w:val="005969AE"/>
    <w:rsid w:val="005A6D70"/>
    <w:rsid w:val="005B2F14"/>
    <w:rsid w:val="005B65CB"/>
    <w:rsid w:val="005B74D1"/>
    <w:rsid w:val="005C5BF1"/>
    <w:rsid w:val="005C60BB"/>
    <w:rsid w:val="005D1F62"/>
    <w:rsid w:val="005D22D6"/>
    <w:rsid w:val="005D68AB"/>
    <w:rsid w:val="005E2835"/>
    <w:rsid w:val="0060369E"/>
    <w:rsid w:val="00604BF4"/>
    <w:rsid w:val="00612797"/>
    <w:rsid w:val="0062246D"/>
    <w:rsid w:val="0063500D"/>
    <w:rsid w:val="00635E2B"/>
    <w:rsid w:val="00640BBD"/>
    <w:rsid w:val="00641241"/>
    <w:rsid w:val="006444B4"/>
    <w:rsid w:val="00647387"/>
    <w:rsid w:val="00666AC9"/>
    <w:rsid w:val="006674F4"/>
    <w:rsid w:val="00667A0C"/>
    <w:rsid w:val="00677447"/>
    <w:rsid w:val="0068578C"/>
    <w:rsid w:val="006964F7"/>
    <w:rsid w:val="00697A2C"/>
    <w:rsid w:val="006C018C"/>
    <w:rsid w:val="006C0D31"/>
    <w:rsid w:val="006C1B81"/>
    <w:rsid w:val="006C6063"/>
    <w:rsid w:val="006D06CD"/>
    <w:rsid w:val="006D5332"/>
    <w:rsid w:val="006E1F62"/>
    <w:rsid w:val="006E6B3F"/>
    <w:rsid w:val="006F06DC"/>
    <w:rsid w:val="006F7B6E"/>
    <w:rsid w:val="007005C8"/>
    <w:rsid w:val="007066B2"/>
    <w:rsid w:val="0070709D"/>
    <w:rsid w:val="00714661"/>
    <w:rsid w:val="00715144"/>
    <w:rsid w:val="0071646E"/>
    <w:rsid w:val="007209AF"/>
    <w:rsid w:val="0074672C"/>
    <w:rsid w:val="00746EC5"/>
    <w:rsid w:val="0075065C"/>
    <w:rsid w:val="0076193E"/>
    <w:rsid w:val="00764AA8"/>
    <w:rsid w:val="00771937"/>
    <w:rsid w:val="00774FC9"/>
    <w:rsid w:val="00780171"/>
    <w:rsid w:val="00782F61"/>
    <w:rsid w:val="007A356D"/>
    <w:rsid w:val="007A567C"/>
    <w:rsid w:val="007B4A85"/>
    <w:rsid w:val="007D1517"/>
    <w:rsid w:val="007E299F"/>
    <w:rsid w:val="007E5B5C"/>
    <w:rsid w:val="007F6ED4"/>
    <w:rsid w:val="008028E8"/>
    <w:rsid w:val="00805806"/>
    <w:rsid w:val="008079FC"/>
    <w:rsid w:val="008120CD"/>
    <w:rsid w:val="008122A9"/>
    <w:rsid w:val="008259E7"/>
    <w:rsid w:val="008260B3"/>
    <w:rsid w:val="008268A2"/>
    <w:rsid w:val="00830DDE"/>
    <w:rsid w:val="00845342"/>
    <w:rsid w:val="00864656"/>
    <w:rsid w:val="0086624B"/>
    <w:rsid w:val="008733E8"/>
    <w:rsid w:val="0088113B"/>
    <w:rsid w:val="00891505"/>
    <w:rsid w:val="008923FE"/>
    <w:rsid w:val="008C5356"/>
    <w:rsid w:val="008C5688"/>
    <w:rsid w:val="008C7F95"/>
    <w:rsid w:val="008D069C"/>
    <w:rsid w:val="008D3731"/>
    <w:rsid w:val="008E1637"/>
    <w:rsid w:val="008E34AC"/>
    <w:rsid w:val="008F00B7"/>
    <w:rsid w:val="008F0D1C"/>
    <w:rsid w:val="008F276C"/>
    <w:rsid w:val="00905405"/>
    <w:rsid w:val="00905CCA"/>
    <w:rsid w:val="00916999"/>
    <w:rsid w:val="00917B2D"/>
    <w:rsid w:val="00922BB5"/>
    <w:rsid w:val="00923A1B"/>
    <w:rsid w:val="0094333C"/>
    <w:rsid w:val="0095072C"/>
    <w:rsid w:val="009540C7"/>
    <w:rsid w:val="00956A8A"/>
    <w:rsid w:val="009606C4"/>
    <w:rsid w:val="009713B2"/>
    <w:rsid w:val="00971A83"/>
    <w:rsid w:val="00976D63"/>
    <w:rsid w:val="00985F2E"/>
    <w:rsid w:val="0099040C"/>
    <w:rsid w:val="0099556D"/>
    <w:rsid w:val="009A0580"/>
    <w:rsid w:val="009A7C22"/>
    <w:rsid w:val="009B20CE"/>
    <w:rsid w:val="009B50F8"/>
    <w:rsid w:val="009C56EB"/>
    <w:rsid w:val="009C61DD"/>
    <w:rsid w:val="009E6A8F"/>
    <w:rsid w:val="009E73AF"/>
    <w:rsid w:val="009F456B"/>
    <w:rsid w:val="009F5FCA"/>
    <w:rsid w:val="00A02A12"/>
    <w:rsid w:val="00A036FD"/>
    <w:rsid w:val="00A12120"/>
    <w:rsid w:val="00A24407"/>
    <w:rsid w:val="00A25218"/>
    <w:rsid w:val="00A345B8"/>
    <w:rsid w:val="00A35BF1"/>
    <w:rsid w:val="00A3708A"/>
    <w:rsid w:val="00A60A0B"/>
    <w:rsid w:val="00A84BD0"/>
    <w:rsid w:val="00A86A73"/>
    <w:rsid w:val="00A926BA"/>
    <w:rsid w:val="00A92DBB"/>
    <w:rsid w:val="00A93653"/>
    <w:rsid w:val="00AC119B"/>
    <w:rsid w:val="00AC2FAF"/>
    <w:rsid w:val="00AD0449"/>
    <w:rsid w:val="00AD15C6"/>
    <w:rsid w:val="00AE2458"/>
    <w:rsid w:val="00B02AB5"/>
    <w:rsid w:val="00B13CD1"/>
    <w:rsid w:val="00B15C2A"/>
    <w:rsid w:val="00B237D6"/>
    <w:rsid w:val="00B33F12"/>
    <w:rsid w:val="00B405B9"/>
    <w:rsid w:val="00B46D6F"/>
    <w:rsid w:val="00B50E1F"/>
    <w:rsid w:val="00B538F0"/>
    <w:rsid w:val="00B54F6B"/>
    <w:rsid w:val="00B5754A"/>
    <w:rsid w:val="00B6485D"/>
    <w:rsid w:val="00B66BC8"/>
    <w:rsid w:val="00B726FA"/>
    <w:rsid w:val="00B74F49"/>
    <w:rsid w:val="00B77CAF"/>
    <w:rsid w:val="00B93BA8"/>
    <w:rsid w:val="00BA3C3C"/>
    <w:rsid w:val="00BA5E97"/>
    <w:rsid w:val="00BB14C2"/>
    <w:rsid w:val="00BC211D"/>
    <w:rsid w:val="00BD66D6"/>
    <w:rsid w:val="00BF131D"/>
    <w:rsid w:val="00C001C9"/>
    <w:rsid w:val="00C00E8B"/>
    <w:rsid w:val="00C01996"/>
    <w:rsid w:val="00C0776A"/>
    <w:rsid w:val="00C13875"/>
    <w:rsid w:val="00C140C2"/>
    <w:rsid w:val="00C20153"/>
    <w:rsid w:val="00C240B2"/>
    <w:rsid w:val="00C35C17"/>
    <w:rsid w:val="00C47498"/>
    <w:rsid w:val="00C55CB9"/>
    <w:rsid w:val="00C67F6F"/>
    <w:rsid w:val="00C70802"/>
    <w:rsid w:val="00C71CDE"/>
    <w:rsid w:val="00C84C54"/>
    <w:rsid w:val="00C92199"/>
    <w:rsid w:val="00C96151"/>
    <w:rsid w:val="00CA1C27"/>
    <w:rsid w:val="00CA4DAF"/>
    <w:rsid w:val="00CA5739"/>
    <w:rsid w:val="00CB614A"/>
    <w:rsid w:val="00CB61E3"/>
    <w:rsid w:val="00CC61ED"/>
    <w:rsid w:val="00CD38F6"/>
    <w:rsid w:val="00CD5B4A"/>
    <w:rsid w:val="00CE2C8F"/>
    <w:rsid w:val="00CE3749"/>
    <w:rsid w:val="00CE754A"/>
    <w:rsid w:val="00CF3CF6"/>
    <w:rsid w:val="00CF750B"/>
    <w:rsid w:val="00D00DB2"/>
    <w:rsid w:val="00D05ABE"/>
    <w:rsid w:val="00D21AC7"/>
    <w:rsid w:val="00D25BAE"/>
    <w:rsid w:val="00D30ECD"/>
    <w:rsid w:val="00D37B42"/>
    <w:rsid w:val="00D5032E"/>
    <w:rsid w:val="00D5317D"/>
    <w:rsid w:val="00D55D27"/>
    <w:rsid w:val="00D55F5F"/>
    <w:rsid w:val="00D566B5"/>
    <w:rsid w:val="00D571DF"/>
    <w:rsid w:val="00D67E71"/>
    <w:rsid w:val="00D76A52"/>
    <w:rsid w:val="00D85A01"/>
    <w:rsid w:val="00D90374"/>
    <w:rsid w:val="00D91FB4"/>
    <w:rsid w:val="00D92AC2"/>
    <w:rsid w:val="00DA571E"/>
    <w:rsid w:val="00DB22D6"/>
    <w:rsid w:val="00DC2738"/>
    <w:rsid w:val="00DC36D3"/>
    <w:rsid w:val="00DD5744"/>
    <w:rsid w:val="00DE44CD"/>
    <w:rsid w:val="00DE5606"/>
    <w:rsid w:val="00DF03D6"/>
    <w:rsid w:val="00DF0D0D"/>
    <w:rsid w:val="00DF1303"/>
    <w:rsid w:val="00DF2D34"/>
    <w:rsid w:val="00E0647C"/>
    <w:rsid w:val="00E064B7"/>
    <w:rsid w:val="00E07AC2"/>
    <w:rsid w:val="00E16F3A"/>
    <w:rsid w:val="00E302E8"/>
    <w:rsid w:val="00E44F61"/>
    <w:rsid w:val="00E4785D"/>
    <w:rsid w:val="00E51361"/>
    <w:rsid w:val="00E55C86"/>
    <w:rsid w:val="00E62231"/>
    <w:rsid w:val="00E74ED0"/>
    <w:rsid w:val="00E82028"/>
    <w:rsid w:val="00E82CAB"/>
    <w:rsid w:val="00E93F83"/>
    <w:rsid w:val="00EA34F8"/>
    <w:rsid w:val="00EB32CE"/>
    <w:rsid w:val="00EC2EBD"/>
    <w:rsid w:val="00EC6E2F"/>
    <w:rsid w:val="00ED4871"/>
    <w:rsid w:val="00ED7D27"/>
    <w:rsid w:val="00EE3311"/>
    <w:rsid w:val="00EF340E"/>
    <w:rsid w:val="00EF4995"/>
    <w:rsid w:val="00EF7A06"/>
    <w:rsid w:val="00F1156F"/>
    <w:rsid w:val="00F17AD3"/>
    <w:rsid w:val="00F274A3"/>
    <w:rsid w:val="00F33AE9"/>
    <w:rsid w:val="00F43DB1"/>
    <w:rsid w:val="00F72D05"/>
    <w:rsid w:val="00F83442"/>
    <w:rsid w:val="00F8367F"/>
    <w:rsid w:val="00F8649A"/>
    <w:rsid w:val="00F9455D"/>
    <w:rsid w:val="00F952A6"/>
    <w:rsid w:val="00FB21EA"/>
    <w:rsid w:val="00FC26BC"/>
    <w:rsid w:val="00FC403B"/>
    <w:rsid w:val="00FD0324"/>
    <w:rsid w:val="00FE6177"/>
    <w:rsid w:val="00FE6A88"/>
    <w:rsid w:val="01DD142D"/>
    <w:rsid w:val="02526307"/>
    <w:rsid w:val="02925076"/>
    <w:rsid w:val="06863A5A"/>
    <w:rsid w:val="06E50FC7"/>
    <w:rsid w:val="06EE088C"/>
    <w:rsid w:val="076B0C07"/>
    <w:rsid w:val="079A0EE6"/>
    <w:rsid w:val="07C31527"/>
    <w:rsid w:val="08187A68"/>
    <w:rsid w:val="08546D99"/>
    <w:rsid w:val="091E0411"/>
    <w:rsid w:val="0947130B"/>
    <w:rsid w:val="09B856A2"/>
    <w:rsid w:val="0CCD4FB2"/>
    <w:rsid w:val="0F371CB7"/>
    <w:rsid w:val="0FD365D4"/>
    <w:rsid w:val="10673459"/>
    <w:rsid w:val="10715104"/>
    <w:rsid w:val="10795917"/>
    <w:rsid w:val="116B513D"/>
    <w:rsid w:val="1346660C"/>
    <w:rsid w:val="15396593"/>
    <w:rsid w:val="16797B04"/>
    <w:rsid w:val="17776C69"/>
    <w:rsid w:val="178D2071"/>
    <w:rsid w:val="1913230C"/>
    <w:rsid w:val="19781653"/>
    <w:rsid w:val="1ACF7F10"/>
    <w:rsid w:val="1B283659"/>
    <w:rsid w:val="1C70425F"/>
    <w:rsid w:val="1C763C9D"/>
    <w:rsid w:val="1D787420"/>
    <w:rsid w:val="1DB46787"/>
    <w:rsid w:val="1EA71EC4"/>
    <w:rsid w:val="1FD82003"/>
    <w:rsid w:val="20874380"/>
    <w:rsid w:val="212B16CD"/>
    <w:rsid w:val="21D43981"/>
    <w:rsid w:val="22AC1615"/>
    <w:rsid w:val="234852A8"/>
    <w:rsid w:val="235D2E44"/>
    <w:rsid w:val="26390EFC"/>
    <w:rsid w:val="26F45322"/>
    <w:rsid w:val="276D7C49"/>
    <w:rsid w:val="27A32BF1"/>
    <w:rsid w:val="27D950BF"/>
    <w:rsid w:val="2A2B16AF"/>
    <w:rsid w:val="2B3204C7"/>
    <w:rsid w:val="2B360A92"/>
    <w:rsid w:val="2BB71F5A"/>
    <w:rsid w:val="2CE27C2F"/>
    <w:rsid w:val="2E703BCB"/>
    <w:rsid w:val="2F010E0A"/>
    <w:rsid w:val="2FA80C5E"/>
    <w:rsid w:val="31F0151C"/>
    <w:rsid w:val="32C10704"/>
    <w:rsid w:val="32F65BB9"/>
    <w:rsid w:val="335743B8"/>
    <w:rsid w:val="33BD2DEC"/>
    <w:rsid w:val="347517BB"/>
    <w:rsid w:val="34D64307"/>
    <w:rsid w:val="37C76774"/>
    <w:rsid w:val="37DC7C5E"/>
    <w:rsid w:val="3AB96066"/>
    <w:rsid w:val="3BA70C23"/>
    <w:rsid w:val="3C0C2124"/>
    <w:rsid w:val="3D0633AF"/>
    <w:rsid w:val="3D7A012F"/>
    <w:rsid w:val="3EA60348"/>
    <w:rsid w:val="3F8F77BD"/>
    <w:rsid w:val="3FAA7892"/>
    <w:rsid w:val="3FF14DC2"/>
    <w:rsid w:val="40F20FA9"/>
    <w:rsid w:val="40FD0042"/>
    <w:rsid w:val="417B56A3"/>
    <w:rsid w:val="448775FA"/>
    <w:rsid w:val="44AE0841"/>
    <w:rsid w:val="450768A0"/>
    <w:rsid w:val="45A44DB2"/>
    <w:rsid w:val="45B226F5"/>
    <w:rsid w:val="463067D1"/>
    <w:rsid w:val="46E917C9"/>
    <w:rsid w:val="471D1B55"/>
    <w:rsid w:val="47B70FFA"/>
    <w:rsid w:val="47C921EB"/>
    <w:rsid w:val="4A0465D5"/>
    <w:rsid w:val="4A476575"/>
    <w:rsid w:val="4FA168B9"/>
    <w:rsid w:val="5099121D"/>
    <w:rsid w:val="509B255A"/>
    <w:rsid w:val="53816D0F"/>
    <w:rsid w:val="538C3640"/>
    <w:rsid w:val="54B8119D"/>
    <w:rsid w:val="54C344DB"/>
    <w:rsid w:val="56197D41"/>
    <w:rsid w:val="57784D4C"/>
    <w:rsid w:val="57B14369"/>
    <w:rsid w:val="58C13217"/>
    <w:rsid w:val="5A612770"/>
    <w:rsid w:val="5AA05CDD"/>
    <w:rsid w:val="5ADE6C53"/>
    <w:rsid w:val="5AF94ED7"/>
    <w:rsid w:val="5AFE4AA8"/>
    <w:rsid w:val="5BC70638"/>
    <w:rsid w:val="5C1D205D"/>
    <w:rsid w:val="5F077530"/>
    <w:rsid w:val="5F2806A9"/>
    <w:rsid w:val="611B659E"/>
    <w:rsid w:val="61797581"/>
    <w:rsid w:val="656B1C33"/>
    <w:rsid w:val="659A02DC"/>
    <w:rsid w:val="659D6111"/>
    <w:rsid w:val="65C22117"/>
    <w:rsid w:val="661B1450"/>
    <w:rsid w:val="6A6F75A4"/>
    <w:rsid w:val="6AF70359"/>
    <w:rsid w:val="6C446844"/>
    <w:rsid w:val="6D556999"/>
    <w:rsid w:val="6DCF43CB"/>
    <w:rsid w:val="6E4A2D86"/>
    <w:rsid w:val="6E8C3392"/>
    <w:rsid w:val="715B6DED"/>
    <w:rsid w:val="71AA3994"/>
    <w:rsid w:val="71C1476B"/>
    <w:rsid w:val="72181971"/>
    <w:rsid w:val="72720F31"/>
    <w:rsid w:val="72FA7A51"/>
    <w:rsid w:val="732B026E"/>
    <w:rsid w:val="738A3D86"/>
    <w:rsid w:val="770A4CD6"/>
    <w:rsid w:val="77C9319C"/>
    <w:rsid w:val="786C59A3"/>
    <w:rsid w:val="78ED1927"/>
    <w:rsid w:val="79293AEF"/>
    <w:rsid w:val="792E2702"/>
    <w:rsid w:val="7AE212D9"/>
    <w:rsid w:val="7B387F52"/>
    <w:rsid w:val="7DBF69FB"/>
    <w:rsid w:val="7DCE6A26"/>
    <w:rsid w:val="7E4E4D9F"/>
    <w:rsid w:val="7FC356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Balloon Text"/>
    <w:basedOn w:val="1"/>
    <w:link w:val="11"/>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Strong"/>
    <w:qFormat/>
    <w:uiPriority w:val="22"/>
    <w:rPr>
      <w:b/>
      <w:bCs/>
    </w:rPr>
  </w:style>
  <w:style w:type="character" w:customStyle="1" w:styleId="9">
    <w:name w:val="页眉 字符"/>
    <w:link w:val="2"/>
    <w:qFormat/>
    <w:uiPriority w:val="99"/>
    <w:rPr>
      <w:kern w:val="2"/>
      <w:sz w:val="18"/>
      <w:szCs w:val="18"/>
    </w:rPr>
  </w:style>
  <w:style w:type="character" w:customStyle="1" w:styleId="10">
    <w:name w:val="页脚 字符"/>
    <w:link w:val="4"/>
    <w:qFormat/>
    <w:uiPriority w:val="99"/>
    <w:rPr>
      <w:kern w:val="2"/>
      <w:sz w:val="18"/>
      <w:szCs w:val="18"/>
    </w:rPr>
  </w:style>
  <w:style w:type="character" w:customStyle="1" w:styleId="11">
    <w:name w:val="批注框文本 字符"/>
    <w:link w:val="3"/>
    <w:semiHidden/>
    <w:qFormat/>
    <w:uiPriority w:val="99"/>
    <w:rPr>
      <w:kern w:val="2"/>
      <w:sz w:val="18"/>
      <w:szCs w:val="18"/>
    </w:rPr>
  </w:style>
  <w:style w:type="character" w:customStyle="1" w:styleId="12">
    <w:name w:val="font21"/>
    <w:basedOn w:val="6"/>
    <w:qFormat/>
    <w:uiPriority w:val="0"/>
    <w:rPr>
      <w:rFonts w:hint="eastAsia" w:ascii="宋体" w:hAnsi="宋体" w:eastAsia="宋体" w:cs="宋体"/>
      <w:b/>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朝阳区统计局</Company>
  <Pages>2</Pages>
  <Words>100</Words>
  <Characters>570</Characters>
  <Lines>4</Lines>
  <Paragraphs>1</Paragraphs>
  <ScaleCrop>false</ScaleCrop>
  <LinksUpToDate>false</LinksUpToDate>
  <CharactersWithSpaces>669</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2023-07-19T09:11:00Z</dcterms:created>
  <dc:creator>user</dc:creator>
  <cp:lastModifiedBy>Administrator</cp:lastModifiedBy>
  <cp:lastPrinted>2022-06-16T06:30:00Z</cp:lastPrinted>
  <dcterms:modified xsi:type="dcterms:W3CDTF">2025-08-18T08:11:17Z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y fmtid="{D5CDD505-2E9C-101B-9397-08002B2CF9AE}" pid="3" name="ICV">
    <vt:lpwstr>EC66580F6F444C348A8D7941CF940C46</vt:lpwstr>
  </property>
</Properties>
</file>