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56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绩效考评工作经费项目绩效评价报告</w:t>
      </w:r>
    </w:p>
    <w:p>
      <w:pPr>
        <w:jc w:val="center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基本情况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（一）项目概况。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为贯彻落实“全面深化预算绩效管理，不断提高财政资金使用效益”和过“紧日子”要求，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朝阳区财政局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组织开展财政预算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绩效考评工作，涉及2024年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绩效考评工作经费483.96万元。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（二）项目绩效目标。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按照“全面实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施预算绩效管理”及各级政府关于预算绩效管理的工作要求，开展</w:t>
      </w:r>
      <w:r>
        <w:rPr>
          <w:rFonts w:hint="eastAsia" w:eastAsia="仿宋_GB2312"/>
          <w:color w:val="000000" w:themeColor="text1"/>
          <w:sz w:val="32"/>
          <w:szCs w:val="32"/>
          <w:lang w:eastAsia="zh-CN" w:bidi="ar"/>
          <w14:textFill>
            <w14:solidFill>
              <w14:schemeClr w14:val="tx1"/>
            </w14:solidFill>
          </w14:textFill>
        </w:rPr>
        <w:t>财政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绩效考评工作，不断推进预算绩效管理工作向纵深发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展，着力提高财政资源配置效率和使用效益。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二、绩效评价工作开展情况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（一）绩效评价目的、对象和范围。</w:t>
      </w:r>
    </w:p>
    <w:p>
      <w:p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财政绩效评价工作是全面实施预算绩效管理的重要抓手，是优化财政资源配置、提升公共服务质量的关键举措。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2024年共开展119项目的绩效考评工作，考评范围涵盖政府性基金、国资预算等多领域。</w:t>
      </w:r>
    </w:p>
    <w:p>
      <w:pPr>
        <w:numPr>
          <w:ilvl w:val="0"/>
          <w:numId w:val="3"/>
        </w:num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绩效评价原则、评价指标体系、评价方法、评价标准等。</w:t>
      </w:r>
    </w:p>
    <w:p>
      <w:pPr>
        <w:spacing w:line="6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1.评价原则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一是客观公正原则。本次绩效评价工作本着实事求是的原则，站在客观、公正的立场发表评价意见。</w:t>
      </w:r>
    </w:p>
    <w:p>
      <w:pPr>
        <w:spacing w:line="60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二是科学规范原则。本次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绩效评价严格遵循《北京市项目支出绩效评价管理办法》（京财绩效〔2020〕2146号）等文件相关规定、要求组织实施。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三是突出绩效原则。重点关注绩效，兼顾决策和管理。</w:t>
      </w:r>
    </w:p>
    <w:p>
      <w:pPr>
        <w:pStyle w:val="2"/>
        <w:ind w:firstLine="0" w:firstLineChars="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 xml:space="preserve">   2.评价指标体系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结合该项目特点和预期绩效目标，以资金使用结果为导向，按照“相关性、重要性、可比性、系统性”原则，明确评价标准，按照《北京市项目支出绩效评价管理办法》（京财绩效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〔2020〕2146号）文件，确定了该项目绩效评价指标体系</w:t>
      </w:r>
      <w:r>
        <w:rPr>
          <w:rFonts w:hint="eastAsia" w:ascii="仿宋" w:hAnsi="仿宋" w:eastAsia="仿宋" w:cs="仿宋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3"/>
        </w:numPr>
        <w:spacing w:line="600" w:lineRule="exact"/>
        <w:ind w:firstLine="640" w:firstLineChars="20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绩效评价工作过程。</w:t>
      </w:r>
    </w:p>
    <w:p>
      <w:pPr>
        <w:pStyle w:val="2"/>
        <w:ind w:firstLine="640"/>
        <w:rPr>
          <w:rFonts w:ascii="楷体_GB2312" w:hAnsi="楷体_GB2312" w:eastAsia="楷体_GB2312" w:cs="楷体_GB2312"/>
          <w:bCs/>
          <w:color w:val="000000" w:themeColor="text1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为确保绩效评价工作的客观公正，评价工作组严格按照绩效评价工作程序组织实施绩效评价工作，包括</w:t>
      </w:r>
      <w:r>
        <w:rPr>
          <w:rFonts w:ascii="仿宋_GB2312" w:hAnsi="仿宋_GB2312" w:eastAsia="仿宋_GB2312" w:cs="仿宋_GB2312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组建评价工作组</w:t>
      </w:r>
      <w:r>
        <w:rPr>
          <w:rFonts w:hint="eastAsia" w:ascii="仿宋_GB2312" w:eastAsia="仿宋_GB2312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调研、收集资料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_GB2312" w:hAnsi="仿宋_GB2312" w:eastAsia="仿宋_GB2312" w:cs="仿宋_GB2312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研究制定指标体系</w:t>
      </w:r>
      <w:r>
        <w:rPr>
          <w:rFonts w:hint="eastAsia" w:ascii="仿宋" w:hAnsi="仿宋" w:eastAsia="仿宋" w:cs="仿宋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仿宋_GB2312" w:hAnsi="仿宋_GB2312" w:eastAsia="仿宋_GB2312" w:cs="仿宋_GB2312"/>
          <w:b w:val="0"/>
          <w:bCs/>
          <w:color w:val="000000" w:themeColor="text1"/>
          <w:kern w:val="44"/>
          <w:sz w:val="32"/>
          <w:szCs w:val="32"/>
          <w14:textFill>
            <w14:solidFill>
              <w14:schemeClr w14:val="tx1"/>
            </w14:solidFill>
          </w14:textFill>
        </w:rPr>
        <w:t>撰写绩效评价报告</w:t>
      </w:r>
      <w:r>
        <w:rPr>
          <w:rFonts w:hint="eastAsia" w:ascii="仿宋" w:hAnsi="仿宋" w:eastAsia="仿宋" w:cs="仿宋"/>
          <w:bCs/>
          <w:color w:val="000000" w:themeColor="text1"/>
          <w:kern w:val="44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/>
          <w:bCs/>
          <w:color w:val="000000" w:themeColor="text1"/>
          <w:kern w:val="44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三、综合评价情况及评价结论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绩效考评工作经费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已按计划使用，阶段性项目绩效目标完成良好，预算执行绩效与绩效目标未发生偏离。自评得分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100分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绩效评定等级为“优”。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其中，项目决策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分、项目过程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分、项目产出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分、项目效益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分，项目综合绩效评定结论为“优”。具体情况详见下表。</w:t>
      </w:r>
    </w:p>
    <w:p>
      <w:pPr>
        <w:ind w:firstLine="641"/>
        <w:rPr>
          <w:rFonts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9"/>
        <w:ind w:left="-141" w:leftChars="-67"/>
        <w:jc w:val="center"/>
        <w:rPr>
          <w:rFonts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b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绩效考评工作经费</w:t>
      </w:r>
      <w:r>
        <w:rPr>
          <w:rFonts w:hint="eastAsia"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</w:p>
    <w:p>
      <w:pPr>
        <w:pStyle w:val="9"/>
        <w:ind w:left="-141" w:leftChars="-67"/>
        <w:jc w:val="center"/>
        <w:rPr>
          <w:rFonts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绩效评价结论一览表</w:t>
      </w:r>
    </w:p>
    <w:tbl>
      <w:tblPr>
        <w:tblStyle w:val="16"/>
        <w:tblW w:w="8485" w:type="dxa"/>
        <w:jc w:val="center"/>
        <w:tblInd w:w="0" w:type="dxa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shd w:val="clear" w:color="auto" w:fill="C0C0C0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250"/>
        <w:gridCol w:w="3240"/>
        <w:gridCol w:w="2995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950" w:hRule="atLeast"/>
          <w:jc w:val="center"/>
        </w:trPr>
        <w:tc>
          <w:tcPr>
            <w:tcW w:w="2250" w:type="dxa"/>
            <w:tcBorders>
              <w:top w:val="single" w:color="FFFFFF" w:sz="4" w:space="0"/>
              <w:left w:val="single" w:color="FFFFFF" w:sz="4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评价内容</w:t>
            </w:r>
          </w:p>
        </w:tc>
        <w:tc>
          <w:tcPr>
            <w:tcW w:w="3240" w:type="dxa"/>
            <w:tcBorders>
              <w:top w:val="single" w:color="FFFFFF" w:sz="4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2995" w:type="dxa"/>
            <w:tcBorders>
              <w:top w:val="single" w:color="FFFFFF" w:sz="4" w:space="0"/>
              <w:left w:val="single" w:color="FFFFFF" w:sz="6" w:space="0"/>
              <w:bottom w:val="single" w:color="FFFFFF" w:sz="6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评价得分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2" w:hRule="atLeast"/>
          <w:jc w:val="center"/>
        </w:trPr>
        <w:tc>
          <w:tcPr>
            <w:tcW w:w="2250" w:type="dxa"/>
            <w:tcBorders>
              <w:top w:val="single" w:color="FFFFFF" w:sz="6" w:space="0"/>
              <w:left w:val="single" w:color="FFFFFF" w:sz="4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pStyle w:val="5"/>
              <w:adjustRightInd w:val="0"/>
              <w:snapToGrid w:val="0"/>
              <w:spacing w:before="120" w:after="60" w:line="300" w:lineRule="auto"/>
              <w:ind w:firstLine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项目决策</w:t>
            </w:r>
          </w:p>
        </w:tc>
        <w:tc>
          <w:tcPr>
            <w:tcW w:w="3240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  <w:tc>
          <w:tcPr>
            <w:tcW w:w="299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10.00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2" w:hRule="atLeast"/>
          <w:jc w:val="center"/>
        </w:trPr>
        <w:tc>
          <w:tcPr>
            <w:tcW w:w="2250" w:type="dxa"/>
            <w:tcBorders>
              <w:top w:val="single" w:color="FFFFFF" w:sz="6" w:space="0"/>
              <w:left w:val="single" w:color="FFFFFF" w:sz="4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过程</w:t>
            </w:r>
          </w:p>
        </w:tc>
        <w:tc>
          <w:tcPr>
            <w:tcW w:w="3240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20.00</w:t>
            </w:r>
          </w:p>
        </w:tc>
        <w:tc>
          <w:tcPr>
            <w:tcW w:w="2995" w:type="dxa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20.00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2" w:hRule="atLeast"/>
          <w:jc w:val="center"/>
        </w:trPr>
        <w:tc>
          <w:tcPr>
            <w:tcW w:w="2250" w:type="dxa"/>
            <w:tcBorders>
              <w:top w:val="single" w:color="FFFFFF" w:sz="6" w:space="0"/>
              <w:left w:val="single" w:color="FFFFFF" w:sz="4" w:space="0"/>
              <w:bottom w:val="single" w:color="FFFFFF" w:sz="4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产出</w:t>
            </w:r>
          </w:p>
        </w:tc>
        <w:tc>
          <w:tcPr>
            <w:tcW w:w="3240" w:type="dxa"/>
            <w:tcBorders>
              <w:top w:val="single" w:color="FFFFFF" w:sz="6" w:space="0"/>
              <w:left w:val="single" w:color="FFFFFF" w:sz="6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40.00</w:t>
            </w:r>
          </w:p>
        </w:tc>
        <w:tc>
          <w:tcPr>
            <w:tcW w:w="2995" w:type="dxa"/>
            <w:tcBorders>
              <w:top w:val="single" w:color="FFFFFF" w:sz="6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40.00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2" w:hRule="atLeast"/>
          <w:jc w:val="center"/>
        </w:trPr>
        <w:tc>
          <w:tcPr>
            <w:tcW w:w="2250" w:type="dxa"/>
            <w:tcBorders>
              <w:top w:val="single" w:color="FFFFFF" w:sz="6" w:space="0"/>
              <w:left w:val="single" w:color="FFFFFF" w:sz="4" w:space="0"/>
              <w:bottom w:val="single" w:color="FFFFFF" w:sz="4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项目效益</w:t>
            </w:r>
          </w:p>
        </w:tc>
        <w:tc>
          <w:tcPr>
            <w:tcW w:w="3240" w:type="dxa"/>
            <w:tcBorders>
              <w:top w:val="single" w:color="FFFFFF" w:sz="6" w:space="0"/>
              <w:left w:val="single" w:color="FFFFFF" w:sz="6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30.00</w:t>
            </w:r>
          </w:p>
        </w:tc>
        <w:tc>
          <w:tcPr>
            <w:tcW w:w="2995" w:type="dxa"/>
            <w:tcBorders>
              <w:top w:val="single" w:color="FFFFFF" w:sz="6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30.00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65" w:hRule="atLeast"/>
          <w:jc w:val="center"/>
        </w:trPr>
        <w:tc>
          <w:tcPr>
            <w:tcW w:w="225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综合得分</w:t>
            </w:r>
          </w:p>
        </w:tc>
        <w:tc>
          <w:tcPr>
            <w:tcW w:w="3240" w:type="dxa"/>
            <w:tcBorders>
              <w:top w:val="single" w:color="FFFFFF" w:sz="4" w:space="0"/>
              <w:left w:val="single" w:color="FFFFFF" w:sz="6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100.00</w:t>
            </w:r>
          </w:p>
        </w:tc>
        <w:tc>
          <w:tcPr>
            <w:tcW w:w="2995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100.00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shd w:val="clear" w:color="auto" w:fill="C0C0C0"/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85" w:hRule="atLeast"/>
          <w:jc w:val="center"/>
        </w:trPr>
        <w:tc>
          <w:tcPr>
            <w:tcW w:w="2250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6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spacing w:before="120" w:after="60" w:line="300" w:lineRule="auto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绩效评定级别</w:t>
            </w:r>
          </w:p>
        </w:tc>
        <w:tc>
          <w:tcPr>
            <w:tcW w:w="6235" w:type="dxa"/>
            <w:gridSpan w:val="2"/>
            <w:tcBorders>
              <w:top w:val="single" w:color="FFFFFF" w:sz="4" w:space="0"/>
              <w:left w:val="single" w:color="FFFFFF" w:sz="6" w:space="0"/>
              <w:bottom w:val="single" w:color="FFFFFF" w:sz="4" w:space="0"/>
              <w:right w:val="single" w:color="FFFFFF" w:sz="4" w:space="0"/>
            </w:tcBorders>
            <w:shd w:val="clear" w:color="auto" w:fill="C0C0C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优</w:t>
            </w:r>
          </w:p>
        </w:tc>
      </w:tr>
    </w:tbl>
    <w:p>
      <w:pPr>
        <w:pStyle w:val="2"/>
        <w:ind w:firstLine="6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四、绩效评价指标分析</w:t>
      </w:r>
    </w:p>
    <w:p>
      <w:p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（一）项目决策情况。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1.目标明确性分析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项目绩效目标基本科学、清晰，能够明确反应目标。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2.目标合理性分析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项目目标制定合理。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3.目标细化程度分析</w:t>
      </w:r>
    </w:p>
    <w:p>
      <w:pPr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依据项目内容，从项目产出数量、质量、时效、经济成本、社会效益、满意度等方面设定了具体指标，目标细化程度基本符合项目内容。 </w:t>
      </w:r>
    </w:p>
    <w:p>
      <w:pPr>
        <w:numPr>
          <w:ilvl w:val="0"/>
          <w:numId w:val="4"/>
        </w:num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项目过程情况。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1.资金使用及管理情况 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/>
          <w:sz w:val="32"/>
          <w:szCs w:val="32"/>
          <w:lang w:bidi="ar"/>
        </w:rPr>
        <w:t>2024年项目申请预算504万元，实际批复预算金额483.96万元，截至2024年12月31日，项目实际支出483.96万元，无结余，预算执行100%。按照合同和财务管理等规定有效管理项目资金。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2.项目组织管理情况 </w:t>
      </w:r>
    </w:p>
    <w:p>
      <w:pPr>
        <w:spacing w:line="600" w:lineRule="exact"/>
        <w:ind w:firstLine="664" w:firstLineChars="200"/>
        <w:outlineLvl w:val="0"/>
        <w:rPr>
          <w:rFonts w:eastAsia="仿宋_GB2312"/>
          <w:sz w:val="32"/>
          <w:szCs w:val="32"/>
        </w:rPr>
      </w:pPr>
      <w:r>
        <w:rPr>
          <w:rFonts w:hint="eastAsia" w:ascii="仿宋_GB2312" w:eastAsia="仿宋_GB2312" w:cs="黑体"/>
          <w:spacing w:val="6"/>
          <w:sz w:val="32"/>
          <w:szCs w:val="32"/>
        </w:rPr>
        <w:t>朝阳区财政局按照市、区预算绩效管理制度，组织开展</w:t>
      </w:r>
      <w:r>
        <w:rPr>
          <w:rFonts w:hint="eastAsia" w:ascii="仿宋_GB2312" w:eastAsia="仿宋_GB2312"/>
          <w:sz w:val="32"/>
          <w:szCs w:val="32"/>
        </w:rPr>
        <w:t>财政绩效考评工作，</w:t>
      </w:r>
      <w:r>
        <w:rPr>
          <w:rFonts w:hint="eastAsia" w:ascii="仿宋_GB2312" w:eastAsia="仿宋_GB2312"/>
          <w:sz w:val="32"/>
          <w:szCs w:val="32"/>
          <w:lang w:eastAsia="zh-CN"/>
        </w:rPr>
        <w:t>项目</w:t>
      </w:r>
      <w:r>
        <w:rPr>
          <w:rFonts w:hint="eastAsia" w:ascii="仿宋_GB2312" w:eastAsia="仿宋_GB2312"/>
          <w:sz w:val="32"/>
          <w:szCs w:val="32"/>
        </w:rPr>
        <w:t>管理规范</w:t>
      </w:r>
      <w:r>
        <w:rPr>
          <w:rFonts w:eastAsia="仿宋_GB2312"/>
          <w:sz w:val="32"/>
          <w:szCs w:val="32"/>
        </w:rPr>
        <w:t>。</w:t>
      </w:r>
    </w:p>
    <w:p>
      <w:pPr>
        <w:numPr>
          <w:ilvl w:val="0"/>
          <w:numId w:val="4"/>
        </w:num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项目产出情况。</w:t>
      </w:r>
    </w:p>
    <w:p>
      <w:pPr>
        <w:spacing w:line="560" w:lineRule="exact"/>
        <w:ind w:firstLine="42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1.数量指标分析 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sz w:val="32"/>
          <w:szCs w:val="32"/>
        </w:rPr>
        <w:t>2024年根据实际业务情况，实际完成119个考评项目，符合绩效目标管理要求，数量产出指标完成较好。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2.质量指标分析 </w:t>
      </w:r>
    </w:p>
    <w:p>
      <w:pPr>
        <w:spacing w:line="56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质量指标已达到市、区绩效考评工作要求。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3.时效指标分析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2024年实际完成时间不多于12个月，</w:t>
      </w:r>
      <w:r>
        <w:rPr>
          <w:rFonts w:hint="eastAsia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eastAsia="仿宋_GB2312" w:cs="仿宋_GB2312"/>
          <w:sz w:val="32"/>
          <w:szCs w:val="32"/>
        </w:rPr>
        <w:t>时效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符合绩效目标管理要求。 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4.成本指标分析</w:t>
      </w:r>
    </w:p>
    <w:p>
      <w:pPr>
        <w:spacing w:line="560" w:lineRule="exact"/>
        <w:ind w:firstLine="640" w:firstLineChars="200"/>
        <w:rPr>
          <w:rFonts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2024全年预算数年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483.96万元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，全年执行数</w:t>
      </w:r>
      <w:r>
        <w:rPr>
          <w:rFonts w:hint="eastAsia" w:eastAsia="仿宋_GB2312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483.96万元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，经济成本</w:t>
      </w:r>
      <w:r>
        <w:rPr>
          <w:rFonts w:hint="eastAsia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控制</w:t>
      </w:r>
      <w:r>
        <w:rPr>
          <w:rFonts w:hint="eastAsia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较好。</w:t>
      </w:r>
    </w:p>
    <w:p>
      <w:pPr>
        <w:numPr>
          <w:ilvl w:val="0"/>
          <w:numId w:val="4"/>
        </w:numPr>
        <w:spacing w:line="600" w:lineRule="exact"/>
        <w:ind w:firstLine="640" w:firstLineChars="200"/>
        <w:outlineLvl w:val="0"/>
        <w:rPr>
          <w:rFonts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项目效益情况。</w:t>
      </w:r>
    </w:p>
    <w:p>
      <w:pPr>
        <w:pStyle w:val="2"/>
        <w:ind w:firstLine="64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1.经济效益分析</w:t>
      </w:r>
    </w:p>
    <w:p>
      <w:pPr>
        <w:pStyle w:val="2"/>
        <w:ind w:firstLine="64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通过绩效考评工作</w:t>
      </w: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>督促部门完善项目管理，加强绩效管理意识，强化绩效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考评</w:t>
      </w: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>结果应用，将</w:t>
      </w:r>
      <w:r>
        <w:rPr>
          <w:rFonts w:hint="eastAsia"/>
          <w:color w:val="000000" w:themeColor="text1"/>
          <w:szCs w:val="32"/>
          <w14:textFill>
            <w14:solidFill>
              <w14:schemeClr w14:val="tx1"/>
            </w14:solidFill>
          </w14:textFill>
        </w:rPr>
        <w:t>考评</w:t>
      </w:r>
      <w:r>
        <w:rPr>
          <w:color w:val="000000" w:themeColor="text1"/>
          <w:szCs w:val="32"/>
          <w14:textFill>
            <w14:solidFill>
              <w14:schemeClr w14:val="tx1"/>
            </w14:solidFill>
          </w14:textFill>
        </w:rPr>
        <w:t>结果与预算资金分配相关联，从而进一步优化支出结构，推动预算绩效管理提质增效。</w:t>
      </w:r>
    </w:p>
    <w:p>
      <w:pPr>
        <w:pStyle w:val="2"/>
        <w:ind w:firstLine="64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2.满意度分析</w:t>
      </w:r>
    </w:p>
    <w:p>
      <w:pPr>
        <w:pStyle w:val="2"/>
        <w:ind w:firstLine="640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服务对象满意度指标：受益对象满意度不低于95%。2024年，受益对象满意度100%。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五、主要经验及做法、存在的问题及原因分析</w:t>
      </w:r>
    </w:p>
    <w:p>
      <w:pPr>
        <w:pStyle w:val="4"/>
        <w:keepNext w:val="0"/>
        <w:keepLines w:val="0"/>
        <w:widowControl w:val="0"/>
        <w:numPr>
          <w:ilvl w:val="2"/>
          <w:numId w:val="0"/>
        </w:numPr>
        <w:rPr>
          <w:rFonts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color w:val="000000" w:themeColor="text1"/>
          <w:szCs w:val="32"/>
          <w:lang w:eastAsia="zh-CN" w:bidi="ar"/>
          <w14:textFill>
            <w14:solidFill>
              <w14:schemeClr w14:val="tx1"/>
            </w14:solidFill>
          </w14:textFill>
        </w:rPr>
        <w:t xml:space="preserve">   一是持续扩大财政预算绩效考评范围和</w:t>
      </w:r>
      <w:r>
        <w:rPr>
          <w:rFonts w:eastAsia="仿宋_GB2312"/>
          <w:color w:val="000000" w:themeColor="text1"/>
          <w:szCs w:val="32"/>
          <w:lang w:bidi="ar"/>
          <w14:textFill>
            <w14:solidFill>
              <w14:schemeClr w14:val="tx1"/>
            </w14:solidFill>
          </w14:textFill>
        </w:rPr>
        <w:t>资金规模</w:t>
      </w:r>
      <w:r>
        <w:rPr>
          <w:rFonts w:hint="eastAsia" w:eastAsia="仿宋_GB2312"/>
          <w:color w:val="000000" w:themeColor="text1"/>
          <w:szCs w:val="32"/>
          <w:lang w:eastAsia="zh-CN" w:bidi="ar"/>
          <w14:textFill>
            <w14:solidFill>
              <w14:schemeClr w14:val="tx1"/>
            </w14:solidFill>
          </w14:textFill>
        </w:rPr>
        <w:t>；</w:t>
      </w:r>
      <w:r>
        <w:rPr>
          <w:rFonts w:eastAsia="仿宋_GB2312"/>
          <w:color w:val="000000" w:themeColor="text1"/>
          <w:szCs w:val="32"/>
          <w:lang w:bidi="ar"/>
          <w14:textFill>
            <w14:solidFill>
              <w14:schemeClr w14:val="tx1"/>
            </w14:solidFill>
          </w14:textFill>
        </w:rPr>
        <w:t>二是主动接受人大监督指导，全程融入事</w:t>
      </w:r>
      <w:r>
        <w:rPr>
          <w:rFonts w:hint="eastAsia" w:eastAsia="仿宋_GB2312"/>
          <w:color w:val="000000" w:themeColor="text1"/>
          <w:szCs w:val="32"/>
          <w14:textFill>
            <w14:solidFill>
              <w14:schemeClr w14:val="tx1"/>
            </w14:solidFill>
          </w14:textFill>
        </w:rPr>
        <w:t>绩效考评</w:t>
      </w:r>
      <w:r>
        <w:rPr>
          <w:rFonts w:hint="eastAsia" w:eastAsia="仿宋_GB2312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eastAsia="仿宋_GB2312"/>
          <w:color w:val="000000" w:themeColor="text1"/>
          <w:szCs w:val="32"/>
          <w:lang w:bidi="ar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5"/>
        </w:num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有关建议</w:t>
      </w:r>
    </w:p>
    <w:p>
      <w:pPr>
        <w:spacing w:line="580" w:lineRule="exact"/>
        <w:ind w:firstLine="630"/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继续夯实2025年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财政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预算绩效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考评工作，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强化预算绩效的过程管理，</w:t>
      </w:r>
      <w:r>
        <w:rPr>
          <w:rFonts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督促部门充分应用</w:t>
      </w:r>
      <w:r>
        <w:rPr>
          <w:rFonts w:hint="eastAsia" w:eastAsia="仿宋_GB2312"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w:t>绩效</w:t>
      </w:r>
      <w:r>
        <w:rPr>
          <w:rFonts w:hint="eastAsia"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考评</w:t>
      </w:r>
      <w:r>
        <w:rPr>
          <w:rFonts w:eastAsia="仿宋_GB2312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结果</w:t>
      </w:r>
      <w:r>
        <w:rPr>
          <w:rFonts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，发现问题及时纠偏</w:t>
      </w:r>
      <w:r>
        <w:rPr>
          <w:rFonts w:hint="eastAsia" w:eastAsia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6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17" w:right="141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92D22"/>
    <w:multiLevelType w:val="multilevel"/>
    <w:tmpl w:val="65F92D22"/>
    <w:lvl w:ilvl="0" w:tentative="0">
      <w:start w:val="1"/>
      <w:numFmt w:val="chineseCounting"/>
      <w:suff w:val="space"/>
      <w:lvlText w:val="第%1节"/>
      <w:lvlJc w:val="left"/>
      <w:pPr>
        <w:ind w:left="0" w:firstLine="0"/>
      </w:pPr>
      <w:rPr>
        <w:rFonts w:hint="eastAsia" w:ascii="黑体" w:hAnsi="黑体" w:eastAsia="黑体"/>
        <w:b w:val="0"/>
        <w:i w:val="0"/>
        <w:sz w:val="32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0"/>
      </w:pPr>
      <w:rPr>
        <w:rFonts w:hint="eastAsia"/>
        <w:b w:val="0"/>
        <w:i w:val="0"/>
        <w:sz w:val="28"/>
      </w:rPr>
    </w:lvl>
    <w:lvl w:ilvl="2" w:tentative="0">
      <w:start w:val="1"/>
      <w:numFmt w:val="chineseCounting"/>
      <w:pStyle w:val="4"/>
      <w:suff w:val="nothing"/>
      <w:lvlText w:val="（%3）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 w:ascii="Times New Roman" w:hAnsi="Times New Roman" w:cs="Times New Roman"/>
        <w:b/>
        <w:i w:val="0"/>
        <w:sz w:val="24"/>
      </w:rPr>
    </w:lvl>
    <w:lvl w:ilvl="4" w:tentative="0">
      <w:start w:val="1"/>
      <w:numFmt w:val="decimal"/>
      <w:suff w:val="nothing"/>
      <w:lvlText w:val="（%5）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eastAsia" w:ascii="Times New Roman" w:hAnsi="Times New Roman" w:cs="Times New Roman"/>
        <w:b w:val="0"/>
        <w:i w:val="0"/>
        <w:sz w:val="24"/>
        <w:u w:val="none"/>
      </w:rPr>
    </w:lvl>
    <w:lvl w:ilvl="6" w:tentative="0">
      <w:start w:val="1"/>
      <w:numFmt w:val="decimalEnclosedCircle"/>
      <w:suff w:val="nothing"/>
      <w:lvlText w:val="%7"/>
      <w:lvlJc w:val="left"/>
      <w:pPr>
        <w:ind w:left="0" w:firstLine="0"/>
      </w:pPr>
      <w:rPr>
        <w:rFonts w:hint="eastAsia" w:ascii="Times New Roman" w:hAnsi="Times New Roman" w:cs="Times New Roman"/>
        <w:b w:val="0"/>
        <w:i w:val="0"/>
        <w:sz w:val="24"/>
        <w:lang w:val="en-US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67886A0B"/>
    <w:multiLevelType w:val="singleLevel"/>
    <w:tmpl w:val="67886A0B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7930265"/>
    <w:multiLevelType w:val="singleLevel"/>
    <w:tmpl w:val="67930265"/>
    <w:lvl w:ilvl="0" w:tentative="0">
      <w:start w:val="2"/>
      <w:numFmt w:val="chineseCounting"/>
      <w:suff w:val="nothing"/>
      <w:lvlText w:val="（%1）"/>
      <w:lvlJc w:val="left"/>
    </w:lvl>
  </w:abstractNum>
  <w:abstractNum w:abstractNumId="3">
    <w:nsid w:val="67930B4C"/>
    <w:multiLevelType w:val="singleLevel"/>
    <w:tmpl w:val="67930B4C"/>
    <w:lvl w:ilvl="0" w:tentative="0">
      <w:start w:val="2"/>
      <w:numFmt w:val="chineseCounting"/>
      <w:suff w:val="nothing"/>
      <w:lvlText w:val="（%1）"/>
      <w:lvlJc w:val="left"/>
    </w:lvl>
  </w:abstractNum>
  <w:abstractNum w:abstractNumId="4">
    <w:nsid w:val="67930BA7"/>
    <w:multiLevelType w:val="singleLevel"/>
    <w:tmpl w:val="67930BA7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7F09F4"/>
    <w:rsid w:val="001B3752"/>
    <w:rsid w:val="002028D4"/>
    <w:rsid w:val="005943BB"/>
    <w:rsid w:val="006A29A5"/>
    <w:rsid w:val="008226F1"/>
    <w:rsid w:val="00A25721"/>
    <w:rsid w:val="00BB3BDA"/>
    <w:rsid w:val="00DA4DC1"/>
    <w:rsid w:val="00F107FC"/>
    <w:rsid w:val="00F84B2A"/>
    <w:rsid w:val="037020ED"/>
    <w:rsid w:val="04030340"/>
    <w:rsid w:val="06381AF5"/>
    <w:rsid w:val="063E3CBB"/>
    <w:rsid w:val="083E51F8"/>
    <w:rsid w:val="08B6638F"/>
    <w:rsid w:val="0A8A585C"/>
    <w:rsid w:val="0B8E1843"/>
    <w:rsid w:val="0CF13EEE"/>
    <w:rsid w:val="142E6EF3"/>
    <w:rsid w:val="182A0BBC"/>
    <w:rsid w:val="1EF97D74"/>
    <w:rsid w:val="1FA31EA6"/>
    <w:rsid w:val="30F817CA"/>
    <w:rsid w:val="31AF3171"/>
    <w:rsid w:val="36F07395"/>
    <w:rsid w:val="37173543"/>
    <w:rsid w:val="393A2208"/>
    <w:rsid w:val="3FF76880"/>
    <w:rsid w:val="43744EF9"/>
    <w:rsid w:val="45811DDA"/>
    <w:rsid w:val="4A1E0477"/>
    <w:rsid w:val="50290C58"/>
    <w:rsid w:val="52CC6FC0"/>
    <w:rsid w:val="54636C0A"/>
    <w:rsid w:val="552D79E7"/>
    <w:rsid w:val="560F2E14"/>
    <w:rsid w:val="5C073259"/>
    <w:rsid w:val="5C8A21A4"/>
    <w:rsid w:val="60D57C55"/>
    <w:rsid w:val="624E5969"/>
    <w:rsid w:val="62AC2151"/>
    <w:rsid w:val="655F6BFE"/>
    <w:rsid w:val="6A234FFC"/>
    <w:rsid w:val="6AAB15B9"/>
    <w:rsid w:val="6B13196A"/>
    <w:rsid w:val="6C151BB4"/>
    <w:rsid w:val="6F0746A1"/>
    <w:rsid w:val="6FBD08DB"/>
    <w:rsid w:val="71AE6998"/>
    <w:rsid w:val="77384FBA"/>
    <w:rsid w:val="79A304E1"/>
    <w:rsid w:val="7AB7FF50"/>
    <w:rsid w:val="7BFEB0DB"/>
    <w:rsid w:val="7C9C77BF"/>
    <w:rsid w:val="7CA02A4E"/>
    <w:rsid w:val="7E555B82"/>
    <w:rsid w:val="CEFD3F3D"/>
    <w:rsid w:val="EA3F77F2"/>
    <w:rsid w:val="EEFE5989"/>
    <w:rsid w:val="EFCF3EAE"/>
    <w:rsid w:val="F5B764A2"/>
    <w:rsid w:val="F77F09F4"/>
    <w:rsid w:val="FFD7BFFC"/>
    <w:rsid w:val="FFFA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next w:val="5"/>
    <w:unhideWhenUsed/>
    <w:qFormat/>
    <w:uiPriority w:val="0"/>
    <w:pPr>
      <w:keepNext/>
      <w:keepLines/>
      <w:numPr>
        <w:ilvl w:val="2"/>
        <w:numId w:val="1"/>
      </w:numPr>
      <w:spacing w:line="560" w:lineRule="exact"/>
      <w:ind w:firstLine="880" w:firstLineChars="200"/>
      <w:outlineLvl w:val="2"/>
    </w:pPr>
    <w:rPr>
      <w:rFonts w:ascii="Times New Roman" w:hAnsi="Times New Roman" w:eastAsia="楷体_GB2312" w:cs="Times New Roman"/>
      <w:bCs/>
      <w:color w:val="000000"/>
      <w:sz w:val="32"/>
      <w:szCs w:val="24"/>
      <w:lang w:val="en-US" w:eastAsia="ar-SA" w:bidi="ar-SA"/>
    </w:rPr>
  </w:style>
  <w:style w:type="character" w:default="1" w:styleId="14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1"/>
    <w:basedOn w:val="1"/>
    <w:next w:val="1"/>
    <w:qFormat/>
    <w:uiPriority w:val="0"/>
    <w:pPr>
      <w:spacing w:line="560" w:lineRule="exact"/>
      <w:ind w:firstLine="804" w:firstLineChars="200"/>
    </w:pPr>
    <w:rPr>
      <w:rFonts w:eastAsia="仿宋_GB2312" w:asciiTheme="minorHAnsi" w:hAnsiTheme="minorHAnsi"/>
      <w:sz w:val="32"/>
    </w:rPr>
  </w:style>
  <w:style w:type="paragraph" w:styleId="5">
    <w:name w:val="Normal Indent"/>
    <w:basedOn w:val="1"/>
    <w:qFormat/>
    <w:uiPriority w:val="0"/>
    <w:pPr>
      <w:ind w:firstLine="420"/>
    </w:pPr>
    <w:rPr>
      <w:szCs w:val="21"/>
    </w:rPr>
  </w:style>
  <w:style w:type="paragraph" w:styleId="6">
    <w:name w:val="annotation subject"/>
    <w:basedOn w:val="7"/>
    <w:next w:val="7"/>
    <w:link w:val="20"/>
    <w:qFormat/>
    <w:uiPriority w:val="0"/>
    <w:rPr>
      <w:b/>
      <w:bCs/>
    </w:rPr>
  </w:style>
  <w:style w:type="paragraph" w:styleId="7">
    <w:name w:val="annotation text"/>
    <w:basedOn w:val="1"/>
    <w:link w:val="19"/>
    <w:qFormat/>
    <w:uiPriority w:val="0"/>
    <w:pPr>
      <w:jc w:val="left"/>
    </w:pPr>
  </w:style>
  <w:style w:type="paragraph" w:styleId="8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9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1"/>
    </w:rPr>
  </w:style>
  <w:style w:type="paragraph" w:styleId="10">
    <w:name w:val="Balloon Text"/>
    <w:basedOn w:val="1"/>
    <w:link w:val="18"/>
    <w:qFormat/>
    <w:uiPriority w:val="0"/>
    <w:rPr>
      <w:sz w:val="18"/>
      <w:szCs w:val="18"/>
    </w:rPr>
  </w:style>
  <w:style w:type="paragraph" w:styleId="11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toc 1"/>
    <w:basedOn w:val="1"/>
    <w:next w:val="1"/>
    <w:qFormat/>
    <w:uiPriority w:val="0"/>
    <w:rPr>
      <w:rFonts w:ascii="Calibri" w:hAnsi="Calibri" w:cs="Calibri"/>
      <w:szCs w:val="21"/>
    </w:rPr>
  </w:style>
  <w:style w:type="character" w:styleId="15">
    <w:name w:val="annotation reference"/>
    <w:basedOn w:val="14"/>
    <w:qFormat/>
    <w:uiPriority w:val="0"/>
    <w:rPr>
      <w:sz w:val="21"/>
      <w:szCs w:val="21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rFonts w:ascii="Calibri" w:hAnsi="Calibri" w:cs="黑体"/>
      <w:szCs w:val="22"/>
    </w:rPr>
  </w:style>
  <w:style w:type="character" w:customStyle="1" w:styleId="18">
    <w:name w:val="批注框文本 字符"/>
    <w:basedOn w:val="14"/>
    <w:link w:val="10"/>
    <w:qFormat/>
    <w:uiPriority w:val="0"/>
    <w:rPr>
      <w:kern w:val="2"/>
      <w:sz w:val="18"/>
      <w:szCs w:val="18"/>
    </w:rPr>
  </w:style>
  <w:style w:type="character" w:customStyle="1" w:styleId="19">
    <w:name w:val="批注文字 字符"/>
    <w:basedOn w:val="14"/>
    <w:link w:val="7"/>
    <w:qFormat/>
    <w:uiPriority w:val="0"/>
    <w:rPr>
      <w:kern w:val="2"/>
      <w:sz w:val="21"/>
      <w:szCs w:val="24"/>
    </w:rPr>
  </w:style>
  <w:style w:type="character" w:customStyle="1" w:styleId="20">
    <w:name w:val="批注主题 字符"/>
    <w:basedOn w:val="19"/>
    <w:link w:val="6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516</Words>
  <Characters>2943</Characters>
  <Lines>24</Lines>
  <Paragraphs>6</Paragraphs>
  <ScaleCrop>false</ScaleCrop>
  <LinksUpToDate>false</LinksUpToDate>
  <CharactersWithSpaces>3453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2022-03-10T03:16:00Z</dcterms:created>
  <dc:creator>user</dc:creator>
  <cp:lastModifiedBy>bgslyt</cp:lastModifiedBy>
  <cp:lastPrinted>2025-01-16T07:21:00Z</cp:lastPrinted>
  <dcterms:modified xsi:type="dcterms:W3CDTF">2025-08-29T06:27:15Z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