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289E2">
      <w:pPr>
        <w:pStyle w:val="2"/>
        <w:spacing w:before="101" w:line="222" w:lineRule="auto"/>
        <w:rPr>
          <w:spacing w:val="-6"/>
        </w:rPr>
      </w:pPr>
    </w:p>
    <w:p w14:paraId="3A975E55">
      <w:pPr>
        <w:spacing w:line="350" w:lineRule="auto"/>
        <w:rPr>
          <w:rFonts w:ascii="Arial"/>
          <w:sz w:val="21"/>
        </w:rPr>
      </w:pPr>
    </w:p>
    <w:p w14:paraId="565ADE91">
      <w:pPr>
        <w:jc w:val="center"/>
        <w:rPr>
          <w:rFonts w:ascii="宋体" w:hAnsi="宋体" w:eastAsia="宋体" w:cs="宋体"/>
          <w:spacing w:val="17"/>
          <w:sz w:val="35"/>
          <w:szCs w:val="35"/>
          <w14:textOutline w14:w="3175" w14:cap="flat" w14:cmpd="sng">
            <w14:solidFill>
              <w14:srgbClr w14:val="000000"/>
            </w14:solidFill>
            <w14:prstDash w14:val="solid"/>
            <w14:miter w14:val="0"/>
          </w14:textOutline>
        </w:rPr>
      </w:pPr>
      <w:r>
        <w:rPr>
          <w:rFonts w:hint="eastAsia" w:ascii="方正小标宋简体" w:hAnsi="方正小标宋简体" w:eastAsia="方正小标宋简体" w:cs="方正小标宋简体"/>
          <w:sz w:val="36"/>
          <w:szCs w:val="36"/>
        </w:rPr>
        <w:t>（</w:t>
      </w:r>
      <w:r>
        <w:rPr>
          <w:rFonts w:hint="eastAsia" w:ascii="方正小标宋简体" w:hAnsi="方正小标宋简体" w:eastAsia="方正小标宋简体" w:cs="方正小标宋简体"/>
          <w:sz w:val="36"/>
          <w:szCs w:val="36"/>
          <w:lang w:eastAsia="zh-CN"/>
        </w:rPr>
        <w:t>朝阳区文旅局</w:t>
      </w:r>
      <w:r>
        <w:rPr>
          <w:rFonts w:hint="eastAsia" w:ascii="方正小标宋简体" w:hAnsi="方正小标宋简体" w:eastAsia="方正小标宋简体" w:cs="方正小标宋简体"/>
          <w:sz w:val="36"/>
          <w:szCs w:val="36"/>
        </w:rPr>
        <w:t>）2024</w:t>
      </w:r>
      <w:bookmarkStart w:id="0" w:name="_GoBack"/>
      <w:bookmarkEnd w:id="0"/>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eastAsia="zh-CN"/>
        </w:rPr>
        <w:t>区</w:t>
      </w:r>
      <w:r>
        <w:rPr>
          <w:rFonts w:hint="eastAsia" w:ascii="方正小标宋简体" w:hAnsi="方正小标宋简体" w:eastAsia="方正小标宋简体" w:cs="方正小标宋简体"/>
          <w:sz w:val="36"/>
          <w:szCs w:val="36"/>
        </w:rPr>
        <w:t>政府工作报告重点工作落实情况表（第</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季度）</w:t>
      </w:r>
    </w:p>
    <w:tbl>
      <w:tblPr>
        <w:tblStyle w:val="5"/>
        <w:tblW w:w="13249" w:type="dxa"/>
        <w:tblInd w:w="2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9"/>
        <w:gridCol w:w="1773"/>
        <w:gridCol w:w="2935"/>
        <w:gridCol w:w="2043"/>
        <w:gridCol w:w="5729"/>
      </w:tblGrid>
      <w:tr w14:paraId="51648A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769" w:type="dxa"/>
            <w:shd w:val="clear" w:color="auto" w:fill="D9D9D9"/>
            <w:vAlign w:val="center"/>
          </w:tcPr>
          <w:p w14:paraId="6454D631">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24"/>
                <w:szCs w:val="24"/>
              </w:rPr>
            </w:pPr>
            <w:r>
              <w:rPr>
                <w:rFonts w:ascii="黑体" w:hAnsi="黑体" w:eastAsia="黑体" w:cs="黑体"/>
                <w:spacing w:val="-5"/>
                <w:sz w:val="24"/>
                <w:szCs w:val="24"/>
              </w:rPr>
              <w:t>序号</w:t>
            </w:r>
          </w:p>
        </w:tc>
        <w:tc>
          <w:tcPr>
            <w:tcW w:w="1773" w:type="dxa"/>
            <w:shd w:val="clear" w:color="auto" w:fill="D9D9D9"/>
            <w:vAlign w:val="center"/>
          </w:tcPr>
          <w:p w14:paraId="7BF1464E">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24"/>
                <w:szCs w:val="24"/>
              </w:rPr>
            </w:pPr>
            <w:r>
              <w:rPr>
                <w:rFonts w:ascii="黑体" w:hAnsi="黑体" w:eastAsia="黑体" w:cs="黑体"/>
                <w:spacing w:val="-2"/>
                <w:sz w:val="24"/>
                <w:szCs w:val="24"/>
              </w:rPr>
              <w:t>任务来源</w:t>
            </w:r>
          </w:p>
        </w:tc>
        <w:tc>
          <w:tcPr>
            <w:tcW w:w="2935" w:type="dxa"/>
            <w:shd w:val="clear" w:color="auto" w:fill="D9D9D9"/>
            <w:vAlign w:val="center"/>
          </w:tcPr>
          <w:p w14:paraId="04D59B72">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24"/>
                <w:szCs w:val="24"/>
              </w:rPr>
            </w:pPr>
            <w:r>
              <w:rPr>
                <w:rFonts w:ascii="黑体" w:hAnsi="黑体" w:eastAsia="黑体" w:cs="黑体"/>
                <w:spacing w:val="-2"/>
                <w:sz w:val="24"/>
                <w:szCs w:val="24"/>
              </w:rPr>
              <w:t>任务内容</w:t>
            </w:r>
          </w:p>
        </w:tc>
        <w:tc>
          <w:tcPr>
            <w:tcW w:w="2043" w:type="dxa"/>
            <w:shd w:val="clear" w:color="auto" w:fill="D9D9D9"/>
            <w:vAlign w:val="center"/>
          </w:tcPr>
          <w:p w14:paraId="690B6F96">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24"/>
                <w:szCs w:val="24"/>
              </w:rPr>
            </w:pPr>
            <w:r>
              <w:rPr>
                <w:rFonts w:ascii="黑体" w:hAnsi="黑体" w:eastAsia="黑体" w:cs="黑体"/>
                <w:spacing w:val="-4"/>
                <w:sz w:val="24"/>
                <w:szCs w:val="24"/>
              </w:rPr>
              <w:t>区级责任部门</w:t>
            </w:r>
          </w:p>
        </w:tc>
        <w:tc>
          <w:tcPr>
            <w:tcW w:w="5729" w:type="dxa"/>
            <w:shd w:val="clear" w:color="auto" w:fill="D9D9D9"/>
            <w:vAlign w:val="center"/>
          </w:tcPr>
          <w:p w14:paraId="2EE7DE5C">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24"/>
                <w:szCs w:val="24"/>
              </w:rPr>
            </w:pPr>
            <w:r>
              <w:rPr>
                <w:rFonts w:ascii="黑体" w:hAnsi="黑体" w:eastAsia="黑体" w:cs="黑体"/>
                <w:spacing w:val="-2"/>
                <w:sz w:val="24"/>
                <w:szCs w:val="24"/>
              </w:rPr>
              <w:t>进展情况</w:t>
            </w:r>
          </w:p>
        </w:tc>
      </w:tr>
      <w:tr w14:paraId="7CE401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center"/>
          </w:tcPr>
          <w:p w14:paraId="6C51D2B1">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rPr>
              <w:t>1</w:t>
            </w:r>
          </w:p>
        </w:tc>
        <w:tc>
          <w:tcPr>
            <w:tcW w:w="1773" w:type="dxa"/>
            <w:vAlign w:val="center"/>
          </w:tcPr>
          <w:p w14:paraId="5294D3FC">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6"/>
              </w:rPr>
              <w:t>区政府工作报告</w:t>
            </w:r>
          </w:p>
          <w:p w14:paraId="5929442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5"/>
              </w:rPr>
              <w:t>重点工作</w:t>
            </w:r>
          </w:p>
          <w:p w14:paraId="3EB1A0DF">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11"/>
              </w:rPr>
              <w:t>第</w:t>
            </w:r>
            <w:r>
              <w:rPr>
                <w:rFonts w:hint="eastAsia" w:ascii="仿宋_GB2312" w:hAnsi="仿宋_GB2312" w:eastAsia="仿宋_GB2312" w:cs="仿宋_GB2312"/>
                <w:spacing w:val="-50"/>
              </w:rPr>
              <w:t xml:space="preserve"> </w:t>
            </w:r>
            <w:r>
              <w:rPr>
                <w:rFonts w:hint="eastAsia" w:ascii="仿宋_GB2312" w:hAnsi="仿宋_GB2312" w:eastAsia="仿宋_GB2312" w:cs="仿宋_GB2312"/>
                <w:spacing w:val="-11"/>
                <w:lang w:val="en-US" w:eastAsia="zh-CN"/>
              </w:rPr>
              <w:t>8</w:t>
            </w:r>
            <w:r>
              <w:rPr>
                <w:rFonts w:hint="eastAsia" w:ascii="仿宋_GB2312" w:hAnsi="仿宋_GB2312" w:eastAsia="仿宋_GB2312" w:cs="仿宋_GB2312"/>
                <w:spacing w:val="-48"/>
              </w:rPr>
              <w:t xml:space="preserve"> </w:t>
            </w:r>
            <w:r>
              <w:rPr>
                <w:rFonts w:hint="eastAsia" w:ascii="仿宋_GB2312" w:hAnsi="仿宋_GB2312" w:eastAsia="仿宋_GB2312" w:cs="仿宋_GB2312"/>
                <w:spacing w:val="-11"/>
              </w:rPr>
              <w:t>项</w:t>
            </w:r>
          </w:p>
        </w:tc>
        <w:tc>
          <w:tcPr>
            <w:tcW w:w="2935" w:type="dxa"/>
            <w:vAlign w:val="center"/>
          </w:tcPr>
          <w:p w14:paraId="35CA064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z w:val="21"/>
              </w:rPr>
            </w:pPr>
            <w:r>
              <w:rPr>
                <w:rFonts w:hint="eastAsia" w:ascii="仿宋_GB2312" w:hAnsi="仿宋_GB2312" w:eastAsia="仿宋_GB2312" w:cs="仿宋_GB2312"/>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tc>
        <w:tc>
          <w:tcPr>
            <w:tcW w:w="2043" w:type="dxa"/>
            <w:vAlign w:val="center"/>
          </w:tcPr>
          <w:p w14:paraId="25EE76B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lang w:val="en-US" w:eastAsia="en-US"/>
              </w:rPr>
            </w:pPr>
            <w:r>
              <w:rPr>
                <w:rFonts w:hint="eastAsia" w:ascii="仿宋_GB2312" w:hAnsi="仿宋_GB2312" w:eastAsia="仿宋_GB2312" w:cs="仿宋_GB2312"/>
                <w:snapToGrid w:val="0"/>
                <w:color w:val="000000"/>
                <w:spacing w:val="-5"/>
                <w:kern w:val="0"/>
                <w:sz w:val="24"/>
                <w:szCs w:val="24"/>
                <w:lang w:val="en-US" w:eastAsia="zh-CN" w:bidi="ar-SA"/>
              </w:rPr>
              <w:t>区商务局、区文化和旅游局、区体育局</w:t>
            </w:r>
          </w:p>
        </w:tc>
        <w:tc>
          <w:tcPr>
            <w:tcW w:w="5729" w:type="dxa"/>
            <w:vAlign w:val="center"/>
          </w:tcPr>
          <w:p w14:paraId="50935C4B">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持续挖掘文旅旅游、夜间旅游等消费增长点，不断激发文旅消费活力。1.与阿里巴巴飞猪旅行联合举办“潮朝阳，越夜越精彩”2024年暑期朝阳区促消费活动。</w:t>
            </w:r>
          </w:p>
          <w:p w14:paraId="764F3937">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2.9 月 12 日，文旅服务专题朝阳板块展在首钢园开幕，此次的参展主题为“文化朝阳 开放自信”，展区通过多种设计方式打造具有科技感和趣味性的展厅，展示朝阳区文旅、文化科技融合及文旅消费活跃的风貌，重点展示区域特色文创品牌，突出文商旅融合发展成果，体现区域消费活跃度和影响力。</w:t>
            </w:r>
          </w:p>
          <w:p w14:paraId="19A6661A">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3.近期“AI 游北京朝阳”大模型正式发布，进一步展示朝阳文旅+科技魅力。大模型聚焦“吃住行游购文娱”，覆盖游客游前、游中、游后全流程不同阶段的各个场景，满足游客在行程规划、智能导览、互动体验等方面的旅游需求。"</w:t>
            </w:r>
          </w:p>
        </w:tc>
      </w:tr>
      <w:tr w14:paraId="236AF4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center"/>
          </w:tcPr>
          <w:p w14:paraId="4F37D9B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w:t>
            </w:r>
          </w:p>
        </w:tc>
        <w:tc>
          <w:tcPr>
            <w:tcW w:w="1773" w:type="dxa"/>
            <w:vAlign w:val="center"/>
          </w:tcPr>
          <w:p w14:paraId="6FE97EB2">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6"/>
              </w:rPr>
              <w:t>区政府工作报告</w:t>
            </w:r>
          </w:p>
          <w:p w14:paraId="5E0A956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5"/>
              </w:rPr>
              <w:t>重点工作</w:t>
            </w:r>
          </w:p>
          <w:p w14:paraId="6653FF7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pacing w:val="-11"/>
              </w:rPr>
              <w:t>第</w:t>
            </w:r>
            <w:r>
              <w:rPr>
                <w:rFonts w:hint="eastAsia" w:ascii="仿宋_GB2312" w:hAnsi="仿宋_GB2312" w:eastAsia="仿宋_GB2312" w:cs="仿宋_GB2312"/>
                <w:spacing w:val="-50"/>
              </w:rPr>
              <w:t xml:space="preserve"> </w:t>
            </w:r>
            <w:r>
              <w:rPr>
                <w:rFonts w:hint="eastAsia" w:ascii="仿宋_GB2312" w:hAnsi="仿宋_GB2312" w:eastAsia="仿宋_GB2312" w:cs="仿宋_GB2312"/>
                <w:spacing w:val="-11"/>
                <w:lang w:val="en-US" w:eastAsia="zh-CN"/>
              </w:rPr>
              <w:t>18</w:t>
            </w:r>
            <w:r>
              <w:rPr>
                <w:rFonts w:hint="eastAsia" w:ascii="仿宋_GB2312" w:hAnsi="仿宋_GB2312" w:eastAsia="仿宋_GB2312" w:cs="仿宋_GB2312"/>
                <w:spacing w:val="-48"/>
              </w:rPr>
              <w:t xml:space="preserve"> </w:t>
            </w:r>
            <w:r>
              <w:rPr>
                <w:rFonts w:hint="eastAsia" w:ascii="仿宋_GB2312" w:hAnsi="仿宋_GB2312" w:eastAsia="仿宋_GB2312" w:cs="仿宋_GB2312"/>
                <w:spacing w:val="-11"/>
              </w:rPr>
              <w:t>项</w:t>
            </w:r>
          </w:p>
        </w:tc>
        <w:tc>
          <w:tcPr>
            <w:tcW w:w="2935" w:type="dxa"/>
            <w:vAlign w:val="center"/>
          </w:tcPr>
          <w:p w14:paraId="7E258403">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tc>
        <w:tc>
          <w:tcPr>
            <w:tcW w:w="2043" w:type="dxa"/>
            <w:vAlign w:val="center"/>
          </w:tcPr>
          <w:p w14:paraId="2EE07825">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snapToGrid w:val="0"/>
                <w:color w:val="000000"/>
                <w:spacing w:val="-5"/>
                <w:kern w:val="0"/>
                <w:sz w:val="24"/>
                <w:szCs w:val="24"/>
                <w:lang w:val="en-US" w:eastAsia="zh-CN" w:bidi="ar-SA"/>
              </w:rPr>
              <w:t>文创实验区管委会、区文化和旅游局</w:t>
            </w:r>
          </w:p>
        </w:tc>
        <w:tc>
          <w:tcPr>
            <w:tcW w:w="5729" w:type="dxa"/>
            <w:vAlign w:val="center"/>
          </w:tcPr>
          <w:p w14:paraId="5DAB57A7">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1.9月12日-16日，在服贸会文旅服务专题朝阳展区展示AlGC视听产业创新中心，邀请AI影视感知实验室（佳片影视）、墨境天合、意景技术、乐华圆娱、798文化科技公司、云园区共6家在AlGC视听产业创新中心和AI影视感知领域有突出影响力的企业参展。</w:t>
            </w:r>
          </w:p>
          <w:p w14:paraId="1FE9CE8B">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2.协助文创实验区管委会做好AIGC与影视产业发展论坛相关配合工作，在论坛制指定宿酒店发放朝阳文旅资源宣传材料。</w:t>
            </w:r>
          </w:p>
        </w:tc>
      </w:tr>
      <w:tr w14:paraId="16311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0" w:hRule="atLeast"/>
        </w:trPr>
        <w:tc>
          <w:tcPr>
            <w:tcW w:w="769" w:type="dxa"/>
            <w:vAlign w:val="center"/>
          </w:tcPr>
          <w:p w14:paraId="7576ABA7">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w:t>
            </w:r>
          </w:p>
        </w:tc>
        <w:tc>
          <w:tcPr>
            <w:tcW w:w="1773" w:type="dxa"/>
            <w:vAlign w:val="center"/>
          </w:tcPr>
          <w:p w14:paraId="284C6796">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6"/>
              </w:rPr>
              <w:t>区政府工作报告</w:t>
            </w:r>
          </w:p>
          <w:p w14:paraId="404834E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5"/>
              </w:rPr>
              <w:t>重点工作</w:t>
            </w:r>
          </w:p>
          <w:p w14:paraId="430872FA">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hint="eastAsia" w:ascii="仿宋_GB2312" w:hAnsi="仿宋_GB2312" w:eastAsia="仿宋_GB2312" w:cs="仿宋_GB2312"/>
                <w:spacing w:val="-11"/>
              </w:rPr>
            </w:pPr>
            <w:r>
              <w:rPr>
                <w:rFonts w:hint="eastAsia" w:ascii="仿宋_GB2312" w:hAnsi="仿宋_GB2312" w:eastAsia="仿宋_GB2312" w:cs="仿宋_GB2312"/>
                <w:spacing w:val="-11"/>
              </w:rPr>
              <w:t>第</w:t>
            </w:r>
            <w:r>
              <w:rPr>
                <w:rFonts w:hint="eastAsia" w:ascii="仿宋_GB2312" w:hAnsi="仿宋_GB2312" w:eastAsia="仿宋_GB2312" w:cs="仿宋_GB2312"/>
                <w:spacing w:val="-50"/>
              </w:rPr>
              <w:t xml:space="preserve"> </w:t>
            </w:r>
            <w:r>
              <w:rPr>
                <w:rFonts w:hint="eastAsia" w:ascii="仿宋_GB2312" w:hAnsi="仿宋_GB2312" w:eastAsia="仿宋_GB2312" w:cs="仿宋_GB2312"/>
                <w:spacing w:val="-11"/>
                <w:lang w:val="en-US" w:eastAsia="zh-CN"/>
              </w:rPr>
              <w:t>19</w:t>
            </w:r>
            <w:r>
              <w:rPr>
                <w:rFonts w:hint="eastAsia" w:ascii="仿宋_GB2312" w:hAnsi="仿宋_GB2312" w:eastAsia="仿宋_GB2312" w:cs="仿宋_GB2312"/>
                <w:spacing w:val="-48"/>
              </w:rPr>
              <w:t xml:space="preserve"> </w:t>
            </w:r>
            <w:r>
              <w:rPr>
                <w:rFonts w:hint="eastAsia" w:ascii="仿宋_GB2312" w:hAnsi="仿宋_GB2312" w:eastAsia="仿宋_GB2312" w:cs="仿宋_GB2312"/>
                <w:spacing w:val="-11"/>
              </w:rPr>
              <w:t>项</w:t>
            </w:r>
          </w:p>
        </w:tc>
        <w:tc>
          <w:tcPr>
            <w:tcW w:w="2935" w:type="dxa"/>
            <w:vAlign w:val="center"/>
          </w:tcPr>
          <w:p w14:paraId="36E18B51">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z w:val="21"/>
              </w:rPr>
            </w:pPr>
            <w:r>
              <w:rPr>
                <w:rFonts w:hint="eastAsia" w:ascii="仿宋_GB2312" w:hAnsi="仿宋_GB2312" w:eastAsia="仿宋_GB2312" w:cs="仿宋_GB2312"/>
                <w:snapToGrid w:val="0"/>
                <w:color w:val="000000"/>
                <w:spacing w:val="-5"/>
                <w:kern w:val="0"/>
                <w:sz w:val="24"/>
                <w:szCs w:val="24"/>
                <w:lang w:val="en-US" w:eastAsia="zh-CN" w:bidi="ar-SA"/>
              </w:rPr>
              <w:t>推进国家文化产业和旅游产业融合发展示范区、国家文化 和旅游消费示范城市创建工作</w:t>
            </w:r>
          </w:p>
        </w:tc>
        <w:tc>
          <w:tcPr>
            <w:tcW w:w="2043" w:type="dxa"/>
            <w:vAlign w:val="center"/>
          </w:tcPr>
          <w:p w14:paraId="3D1E88A6">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snapToGrid w:val="0"/>
                <w:color w:val="000000"/>
                <w:spacing w:val="-5"/>
                <w:kern w:val="0"/>
                <w:sz w:val="24"/>
                <w:szCs w:val="24"/>
                <w:lang w:val="en-US" w:eastAsia="zh-CN" w:bidi="ar-SA"/>
              </w:rPr>
              <w:t>区文化和旅游局</w:t>
            </w:r>
          </w:p>
        </w:tc>
        <w:tc>
          <w:tcPr>
            <w:tcW w:w="5729" w:type="dxa"/>
            <w:vAlign w:val="center"/>
          </w:tcPr>
          <w:p w14:paraId="53FC0B40">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1.9月6日晚，2024亮马河风情水岸国际艺术季开幕，东方演艺集团大型原创舞剧《唯我清白》在亮马河畔上演。接下来为期两个月的艺术季，将累计上演百余场精彩纷呈的文艺演出和文化活动，涵盖音乐、舞蹈、戏剧等多个领域。演出的地点也很有新意，除了大型场馆和演艺新空间，亮马河的河畔、游船上、SOLANA蓝色港湾以及多个文创园和公园，这些公共空间都将举办各种演艺活动，营造“到朝阳，跟着演艺去旅游”的文化消费氛围。艺术季期间，“2024年拉美艺术季”将邀请来自墨西哥、哥伦比亚、巴拿马、委内瑞拉、哥斯达黎加、特立尼达和多巴哥、智利七个国家的乐队共同演出。北京国际运河艺术周将邀请来自法国、德国、墨西哥、美国、英国、意大利、希腊、俄罗斯等13个运河国家的文化展演团组及艺术家。</w:t>
            </w:r>
          </w:p>
          <w:p w14:paraId="05B6B2D2">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2.9月3日至13日，由中国服装设计师协会主办主题为“盛”的2025春夏中国国际时装周在北京798·751园区展开多场的服装品牌发布会及时装走秀等活动。本季中国国际时装周将举办线上线下活动160余项，中国、俄罗斯、奥地利、美国、澳大利亚、越南等六个国家近260个品牌、400多位设计师参与，包括专场发布、特别呈现、数字时尚、专业大赛、商贸艺术展、中国国际时尚论坛、DPARK直播间云聊中国国际时装周、专项活动等八大板块。</w:t>
            </w:r>
          </w:p>
          <w:p w14:paraId="7F9B9B81">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3.中秋、国庆假期积极营造浓厚节日氛围，文旅活动精彩纷呈，涵盖景区公园、商圈夜市、水岸经济、主题乐园、文创园区、剧场剧院、音乐节、露营经济、文体活动等丰富多元的文旅资源和新业态、新场景。发布四条“度假朝阳”文旅线路</w:t>
            </w:r>
          </w:p>
          <w:p w14:paraId="5A0B5C26">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4.启动朝阳区第三批文旅特色消费街区和文化事业产业融合示范园区认定工作，完成资料收集、专家评审、实地踏勘等工作，初步形成认定名单。</w:t>
            </w:r>
          </w:p>
        </w:tc>
      </w:tr>
      <w:tr w14:paraId="367482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center"/>
          </w:tcPr>
          <w:p w14:paraId="191AB7A2">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w:t>
            </w:r>
          </w:p>
        </w:tc>
        <w:tc>
          <w:tcPr>
            <w:tcW w:w="1773" w:type="dxa"/>
            <w:vAlign w:val="center"/>
          </w:tcPr>
          <w:p w14:paraId="1C5C14A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6"/>
              </w:rPr>
              <w:t>区政府工作报告</w:t>
            </w:r>
          </w:p>
          <w:p w14:paraId="5789C53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5"/>
              </w:rPr>
              <w:t>重点工作</w:t>
            </w:r>
          </w:p>
          <w:p w14:paraId="0D864DB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hint="eastAsia" w:ascii="仿宋_GB2312" w:hAnsi="仿宋_GB2312" w:eastAsia="仿宋_GB2312" w:cs="仿宋_GB2312"/>
                <w:spacing w:val="-11"/>
              </w:rPr>
            </w:pPr>
            <w:r>
              <w:rPr>
                <w:rFonts w:hint="eastAsia" w:ascii="仿宋_GB2312" w:hAnsi="仿宋_GB2312" w:eastAsia="仿宋_GB2312" w:cs="仿宋_GB2312"/>
                <w:spacing w:val="-11"/>
              </w:rPr>
              <w:t>第</w:t>
            </w:r>
            <w:r>
              <w:rPr>
                <w:rFonts w:hint="eastAsia" w:ascii="仿宋_GB2312" w:hAnsi="仿宋_GB2312" w:eastAsia="仿宋_GB2312" w:cs="仿宋_GB2312"/>
                <w:spacing w:val="-50"/>
              </w:rPr>
              <w:t xml:space="preserve"> </w:t>
            </w:r>
            <w:r>
              <w:rPr>
                <w:rFonts w:hint="eastAsia" w:ascii="仿宋_GB2312" w:hAnsi="仿宋_GB2312" w:eastAsia="仿宋_GB2312" w:cs="仿宋_GB2312"/>
                <w:spacing w:val="-11"/>
                <w:lang w:val="en-US" w:eastAsia="zh-CN"/>
              </w:rPr>
              <w:t>97</w:t>
            </w:r>
            <w:r>
              <w:rPr>
                <w:rFonts w:hint="eastAsia" w:ascii="仿宋_GB2312" w:hAnsi="仿宋_GB2312" w:eastAsia="仿宋_GB2312" w:cs="仿宋_GB2312"/>
                <w:spacing w:val="-11"/>
              </w:rPr>
              <w:t>项</w:t>
            </w:r>
          </w:p>
        </w:tc>
        <w:tc>
          <w:tcPr>
            <w:tcW w:w="2935" w:type="dxa"/>
            <w:vAlign w:val="center"/>
          </w:tcPr>
          <w:p w14:paraId="3C278B97">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spacing w:val="-5"/>
                <w:kern w:val="0"/>
                <w:sz w:val="24"/>
                <w:szCs w:val="24"/>
                <w:lang w:val="en-US" w:eastAsia="zh-CN" w:bidi="ar-SA"/>
              </w:rPr>
            </w:pPr>
            <w:r>
              <w:rPr>
                <w:rFonts w:hint="eastAsia" w:ascii="仿宋_GB2312" w:hAnsi="仿宋_GB2312" w:eastAsia="仿宋_GB2312" w:cs="仿宋_GB2312"/>
                <w:snapToGrid w:val="0"/>
                <w:color w:val="000000"/>
                <w:spacing w:val="-5"/>
                <w:kern w:val="0"/>
                <w:sz w:val="24"/>
                <w:szCs w:val="24"/>
                <w:lang w:val="en-US" w:eastAsia="zh-CN" w:bidi="ar-SA"/>
              </w:rPr>
              <w:t>坚持以文铸魂、以文兴业、以文育城，建设开放自信的文化强区。广泛践行社会主义核心价值观，统筹推动文明培育、文明实践、文明创建，打造红色场馆思政课堂，深化“朝阳群众”品牌建设</w:t>
            </w:r>
          </w:p>
          <w:p w14:paraId="735ACEAF">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z w:val="21"/>
              </w:rPr>
            </w:pPr>
          </w:p>
        </w:tc>
        <w:tc>
          <w:tcPr>
            <w:tcW w:w="2043" w:type="dxa"/>
            <w:vAlign w:val="center"/>
          </w:tcPr>
          <w:p w14:paraId="76ED8164">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snapToGrid w:val="0"/>
                <w:color w:val="000000"/>
                <w:spacing w:val="-5"/>
                <w:kern w:val="0"/>
                <w:sz w:val="24"/>
                <w:szCs w:val="24"/>
                <w:lang w:val="en-US" w:eastAsia="zh-CN" w:bidi="ar-SA"/>
              </w:rPr>
              <w:t>区精神文明办、区文化和旅游局</w:t>
            </w:r>
          </w:p>
        </w:tc>
        <w:tc>
          <w:tcPr>
            <w:tcW w:w="5729" w:type="dxa"/>
            <w:vAlign w:val="center"/>
          </w:tcPr>
          <w:p w14:paraId="2F1297F3">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1.2024年7月1日，在北京陶瓷艺术馆举办“京彩世界 文明对话——脸谱绘画”社会主义核心价值观主题活动。</w:t>
            </w:r>
          </w:p>
          <w:p w14:paraId="2D77EFE2">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2.7月7日，在朝阳区图书馆举办“传承爱国精神 弘扬传统文化”——《馆臣的心事 四库馆众生相》主题讲座。</w:t>
            </w:r>
          </w:p>
          <w:p w14:paraId="0E40BF38">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3.7月6日在北京崇德堂匾额博物馆举办荷香送风致 笺纸倡文明——二十四节气小暑·笺纸染色非遗体验活动。</w:t>
            </w:r>
          </w:p>
          <w:p w14:paraId="16CB1A7C">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4.8月3日，在朝阳区图书馆举办“我学习我践行  争做文明小卫士” 《口袋里的超级坦克》读书分享会主题讲座。</w:t>
            </w:r>
          </w:p>
          <w:p w14:paraId="4E3F7DEE">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5.8月10日，在北京崇德堂匾额博物馆举办绘就文明印记，编织和谐时光 —“纹样手账·立秋雅韵”立秋雅集活动。</w:t>
            </w:r>
          </w:p>
          <w:p w14:paraId="212B35D6">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6.8月19日，在北京陶瓷艺术馆举办传承工匠力量 弘扬敬业精神---陶瓷技艺主题培训活动。</w:t>
            </w:r>
          </w:p>
          <w:p w14:paraId="74782310">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7.9月1日，在北京陶瓷艺术馆举办弘扬敬业精神 传承非遗技艺--拉坯技艺体验活动。</w:t>
            </w:r>
          </w:p>
          <w:p w14:paraId="3E8F8F02">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8.9月7日，在朝阳区图书馆举办“想象和行动  平等也必要” 文津奖获奖图书《两个天才》作者分享会。</w:t>
            </w:r>
          </w:p>
          <w:p w14:paraId="423FCB93">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9.9月7日，在北京崇德堂匾额博物馆举办茗润白露 共筑文明­——“白露茶韵·雅集活动”。</w:t>
            </w:r>
          </w:p>
          <w:p w14:paraId="1460B7FC">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10.9月27日，在福建大厦开展厉行节约 反对浪费活动。</w:t>
            </w:r>
          </w:p>
        </w:tc>
      </w:tr>
      <w:tr w14:paraId="4AE5E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center"/>
          </w:tcPr>
          <w:p w14:paraId="6A5E396F">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w:t>
            </w:r>
          </w:p>
        </w:tc>
        <w:tc>
          <w:tcPr>
            <w:tcW w:w="1773" w:type="dxa"/>
            <w:vAlign w:val="center"/>
          </w:tcPr>
          <w:p w14:paraId="092F2A3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6"/>
              </w:rPr>
              <w:t>区政府工作报告</w:t>
            </w:r>
          </w:p>
          <w:p w14:paraId="072ECA7B">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rPr>
            </w:pPr>
            <w:r>
              <w:rPr>
                <w:rFonts w:hint="eastAsia" w:ascii="仿宋_GB2312" w:hAnsi="仿宋_GB2312" w:eastAsia="仿宋_GB2312" w:cs="仿宋_GB2312"/>
                <w:spacing w:val="-5"/>
              </w:rPr>
              <w:t>重点工作</w:t>
            </w:r>
          </w:p>
          <w:p w14:paraId="669EC06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hint="eastAsia" w:ascii="仿宋_GB2312" w:hAnsi="仿宋_GB2312" w:eastAsia="仿宋_GB2312" w:cs="仿宋_GB2312"/>
                <w:spacing w:val="-11"/>
              </w:rPr>
            </w:pPr>
            <w:r>
              <w:rPr>
                <w:rFonts w:hint="eastAsia" w:ascii="仿宋_GB2312" w:hAnsi="仿宋_GB2312" w:eastAsia="仿宋_GB2312" w:cs="仿宋_GB2312"/>
                <w:spacing w:val="-11"/>
              </w:rPr>
              <w:t>第</w:t>
            </w:r>
            <w:r>
              <w:rPr>
                <w:rFonts w:hint="eastAsia" w:ascii="仿宋_GB2312" w:hAnsi="仿宋_GB2312" w:eastAsia="仿宋_GB2312" w:cs="仿宋_GB2312"/>
                <w:spacing w:val="-50"/>
              </w:rPr>
              <w:t xml:space="preserve"> </w:t>
            </w:r>
            <w:r>
              <w:rPr>
                <w:rFonts w:hint="eastAsia" w:ascii="仿宋_GB2312" w:hAnsi="仿宋_GB2312" w:eastAsia="仿宋_GB2312" w:cs="仿宋_GB2312"/>
                <w:spacing w:val="-11"/>
                <w:lang w:val="en-US" w:eastAsia="zh-CN"/>
              </w:rPr>
              <w:t>98</w:t>
            </w:r>
            <w:r>
              <w:rPr>
                <w:rFonts w:hint="eastAsia" w:ascii="仿宋_GB2312" w:hAnsi="仿宋_GB2312" w:eastAsia="仿宋_GB2312" w:cs="仿宋_GB2312"/>
                <w:spacing w:val="-11"/>
              </w:rPr>
              <w:t>项</w:t>
            </w:r>
          </w:p>
        </w:tc>
        <w:tc>
          <w:tcPr>
            <w:tcW w:w="2935" w:type="dxa"/>
            <w:vAlign w:val="center"/>
          </w:tcPr>
          <w:p w14:paraId="7D454187">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z w:val="21"/>
              </w:rPr>
            </w:pPr>
            <w:r>
              <w:rPr>
                <w:rFonts w:hint="eastAsia" w:ascii="仿宋_GB2312" w:hAnsi="仿宋_GB2312" w:eastAsia="仿宋_GB2312" w:cs="仿宋_GB2312"/>
                <w:snapToGrid w:val="0"/>
                <w:color w:val="000000"/>
                <w:spacing w:val="-5"/>
                <w:kern w:val="0"/>
                <w:sz w:val="24"/>
                <w:szCs w:val="24"/>
                <w:lang w:val="en-US" w:eastAsia="zh-CN" w:bidi="ar-SA"/>
              </w:rPr>
              <w:t>构建城市文化标识体系，加强历史文化传承保护，培育多场景、多业态演艺新空间，打造三里屯特色演艺区。推进平津闸修缮工程，实现区戏曲艺术中心建成投用，新增城市书屋 2 家、 博物馆 10 家</w:t>
            </w:r>
          </w:p>
        </w:tc>
        <w:tc>
          <w:tcPr>
            <w:tcW w:w="2043" w:type="dxa"/>
            <w:vAlign w:val="center"/>
          </w:tcPr>
          <w:p w14:paraId="1A3FBDE9">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snapToGrid w:val="0"/>
                <w:color w:val="000000"/>
                <w:spacing w:val="-5"/>
                <w:kern w:val="0"/>
                <w:sz w:val="24"/>
                <w:szCs w:val="24"/>
                <w:lang w:val="en-US" w:eastAsia="zh-CN" w:bidi="ar-SA"/>
              </w:rPr>
              <w:t>区文化和旅游局、三里屯街道办事处</w:t>
            </w:r>
          </w:p>
        </w:tc>
        <w:tc>
          <w:tcPr>
            <w:tcW w:w="5729" w:type="dxa"/>
            <w:vAlign w:val="center"/>
          </w:tcPr>
          <w:p w14:paraId="5535894B">
            <w:pPr>
              <w:keepNext w:val="0"/>
              <w:keepLines w:val="0"/>
              <w:pageBreakBefore w:val="0"/>
              <w:widowControl/>
              <w:kinsoku w:val="0"/>
              <w:wordWrap/>
              <w:overflowPunct/>
              <w:topLinePunct w:val="0"/>
              <w:autoSpaceDE w:val="0"/>
              <w:autoSpaceDN w:val="0"/>
              <w:bidi w:val="0"/>
              <w:adjustRightInd w:val="0"/>
              <w:snapToGrid w:val="0"/>
              <w:spacing w:line="240" w:lineRule="auto"/>
              <w:ind w:left="0"/>
              <w:jc w:val="left"/>
              <w:textAlignment w:val="baseline"/>
              <w:rPr>
                <w:rFonts w:hint="eastAsia" w:ascii="仿宋_GB2312" w:hAnsi="仿宋_GB2312" w:eastAsia="仿宋_GB2312" w:cs="仿宋_GB2312"/>
                <w:sz w:val="21"/>
              </w:rPr>
            </w:pPr>
            <w:r>
              <w:rPr>
                <w:rFonts w:hint="eastAsia" w:ascii="仿宋_GB2312" w:hAnsi="仿宋_GB2312" w:eastAsia="仿宋_GB2312" w:cs="仿宋_GB2312"/>
                <w:sz w:val="21"/>
              </w:rPr>
              <w:t>（1）落实《朝阳区助力“演艺之都”建设实施方案》要求，积极开展2024亮马河风情水岸国际艺术季，以亮马河为中心纽带串联起奥运、CBD多个城市地标区域，让文化艺术流淌到城市的各个角落。（2）目前汛期结束，平津闸项目已于9月23日起有序恢复施工。（3）我区新增博物馆行业单位10家，博物馆数量达到90家。</w:t>
            </w:r>
          </w:p>
        </w:tc>
      </w:tr>
    </w:tbl>
    <w:p w14:paraId="2585FA10">
      <w:pPr>
        <w:rPr>
          <w:rFonts w:ascii="Arial"/>
          <w:sz w:val="21"/>
        </w:rPr>
      </w:pPr>
    </w:p>
    <w:p w14:paraId="20C40B9E">
      <w:pPr>
        <w:rPr>
          <w:rFonts w:ascii="Arial"/>
          <w:sz w:val="21"/>
        </w:rPr>
      </w:pPr>
    </w:p>
    <w:sectPr>
      <w:headerReference r:id="rId5" w:type="default"/>
      <w:footerReference r:id="rId6" w:type="default"/>
      <w:pgSz w:w="16839" w:h="11906"/>
      <w:pgMar w:top="1440" w:right="1800" w:bottom="1440" w:left="1800" w:header="0" w:footer="120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DD46">
    <w:pPr>
      <w:spacing w:line="176" w:lineRule="auto"/>
      <w:ind w:left="6302"/>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3D31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cwNmJiMmE4NWRlZTViZTA2OGJhODZkYjgwNzljNDcifQ=="/>
  </w:docVars>
  <w:rsids>
    <w:rsidRoot w:val="00000000"/>
    <w:rsid w:val="021D146B"/>
    <w:rsid w:val="03C76963"/>
    <w:rsid w:val="03CE5F43"/>
    <w:rsid w:val="056C5A14"/>
    <w:rsid w:val="080737D2"/>
    <w:rsid w:val="12AF6F40"/>
    <w:rsid w:val="16496F9E"/>
    <w:rsid w:val="165A5414"/>
    <w:rsid w:val="1F880941"/>
    <w:rsid w:val="22FD3CF7"/>
    <w:rsid w:val="273553D0"/>
    <w:rsid w:val="2A2C0A1E"/>
    <w:rsid w:val="30986E0D"/>
    <w:rsid w:val="31540F86"/>
    <w:rsid w:val="337D1C2C"/>
    <w:rsid w:val="3679323D"/>
    <w:rsid w:val="4208377D"/>
    <w:rsid w:val="45C02C36"/>
    <w:rsid w:val="48894D7A"/>
    <w:rsid w:val="49010144"/>
    <w:rsid w:val="4ABB6B5F"/>
    <w:rsid w:val="4B985ABC"/>
    <w:rsid w:val="4BA17066"/>
    <w:rsid w:val="4C2368AC"/>
    <w:rsid w:val="4E571C5E"/>
    <w:rsid w:val="4EC75D6C"/>
    <w:rsid w:val="51B64EEE"/>
    <w:rsid w:val="52B256B5"/>
    <w:rsid w:val="543545E5"/>
    <w:rsid w:val="55A51AFB"/>
    <w:rsid w:val="56CA3856"/>
    <w:rsid w:val="5789491E"/>
    <w:rsid w:val="5A983825"/>
    <w:rsid w:val="5B525C87"/>
    <w:rsid w:val="5F1A7A93"/>
    <w:rsid w:val="68185BEC"/>
    <w:rsid w:val="74733BC6"/>
    <w:rsid w:val="74DF1EE2"/>
    <w:rsid w:val="76053BCA"/>
    <w:rsid w:val="789D6225"/>
    <w:rsid w:val="78F94D3A"/>
    <w:rsid w:val="7C8D2B6B"/>
    <w:rsid w:val="7CE17E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3572</Words>
  <Characters>3760</Characters>
  <TotalTime>621</TotalTime>
  <ScaleCrop>false</ScaleCrop>
  <LinksUpToDate>false</LinksUpToDate>
  <CharactersWithSpaces>3856</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2024-04-07T18:07:00Z</dcterms:created>
  <dc:creator>lidong</dc:creator>
  <cp:lastModifiedBy>小强</cp:lastModifiedBy>
  <dcterms:modified xsi:type="dcterms:W3CDTF">2024-10-22T06:36:21Z</dcterms:modified>
  <dc:title>朝阳区人民政府督查室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2024-04-08T16:37:08Z</vt:filetime>
  </property>
  <property fmtid="{D5CDD505-2E9C-101B-9397-08002B2CF9AE}" pid="4" name="KSOProductBuildVer">
    <vt:lpwstr>2052-12.1.0.18276</vt:lpwstr>
  </property>
  <property fmtid="{D5CDD505-2E9C-101B-9397-08002B2CF9AE}" pid="5" name="ICV">
    <vt:lpwstr>E6BBFE06CEE547098EC46FFD6AFF3760_13</vt:lpwstr>
  </property>
</Properties>
</file>