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区房管局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）北京市2024年重要民生实事项目落实情况表（第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tbl>
      <w:tblPr>
        <w:tblStyle w:val="6"/>
        <w:tblW w:w="13276" w:type="dxa"/>
        <w:tblInd w:w="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904"/>
        <w:gridCol w:w="2769"/>
        <w:gridCol w:w="2931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96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04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69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市级任务内容</w:t>
            </w:r>
          </w:p>
        </w:tc>
        <w:tc>
          <w:tcPr>
            <w:tcW w:w="2931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876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</w:trPr>
        <w:tc>
          <w:tcPr>
            <w:tcW w:w="7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2"/>
                <w:szCs w:val="22"/>
              </w:rPr>
              <w:t>市实事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17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276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</w:rPr>
              <w:t>完成燃气、供热等老旧管线改造1100公里；开展雨水、雨污合流管涵及附属雨水口等“清管行动”1万公里；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坚持房屋漏雨维修快速响应机制。</w:t>
            </w:r>
          </w:p>
        </w:tc>
        <w:tc>
          <w:tcPr>
            <w:tcW w:w="293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区房管局</w:t>
            </w:r>
          </w:p>
        </w:tc>
        <w:tc>
          <w:tcPr>
            <w:tcW w:w="487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制定并印发《朝阳区2024年重要民生实事项目老旧楼房屋面防水应急维修整体工作方案》；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涉及街道正在进行前期投标准备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。</w:t>
            </w:r>
          </w:p>
        </w:tc>
      </w:tr>
    </w:tbl>
    <w:p>
      <w:pPr>
        <w:tabs>
          <w:tab w:val="left" w:pos="7728"/>
          <w:tab w:val="left" w:pos="8050"/>
        </w:tabs>
        <w:spacing w:line="560" w:lineRule="exact"/>
        <w:ind w:right="15" w:rightChars="7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aperSrc/>
      <w:cols w:space="0" w:num="1"/>
      <w:rtlGutter w:val="0"/>
      <w:docGrid w:type="linesAndChars" w:linePitch="326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21191"/>
    <w:rsid w:val="03D21191"/>
    <w:rsid w:val="0D5760FD"/>
    <w:rsid w:val="13013620"/>
    <w:rsid w:val="2AB967A5"/>
    <w:rsid w:val="2CC5209E"/>
    <w:rsid w:val="388E21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2024-04-09T01:46:00Z</dcterms:created>
  <dc:creator>陈峥</dc:creator>
  <cp:lastModifiedBy>办公室张硕</cp:lastModifiedBy>
  <cp:lastPrinted>2024-04-10T07:59:00Z</cp:lastPrinted>
  <dcterms:modified xsi:type="dcterms:W3CDTF">2024-04-18T09:48:54Z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