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仿宋_GB2312" w:hAnsi="仿宋_GB2312" w:eastAsia="仿宋_GB2312" w:cs="仿宋_GB2312"/>
          <w:sz w:val="32"/>
          <w:szCs w:val="32"/>
        </w:rPr>
      </w:pPr>
      <w:bookmarkStart w:id="0" w:name="_GoBack"/>
      <w:r>
        <w:rPr>
          <w:rFonts w:hint="eastAsia" w:ascii="方正小标宋简体" w:hAnsi="方正小标宋简体" w:eastAsia="方正小标宋简体" w:cs="方正小标宋简体"/>
          <w:color w:val="000000"/>
          <w:kern w:val="0"/>
          <w:sz w:val="36"/>
          <w:szCs w:val="36"/>
        </w:rPr>
        <w:t>（</w:t>
      </w:r>
      <w:r>
        <w:rPr>
          <w:rFonts w:hint="eastAsia" w:ascii="方正小标宋简体" w:hAnsi="方正小标宋简体" w:eastAsia="方正小标宋简体" w:cs="方正小标宋简体"/>
          <w:color w:val="000000"/>
          <w:kern w:val="0"/>
          <w:sz w:val="36"/>
          <w:szCs w:val="36"/>
          <w:lang w:eastAsia="zh-CN"/>
        </w:rPr>
        <w:t>朝阳区应急管理局</w:t>
      </w:r>
      <w:r>
        <w:rPr>
          <w:rFonts w:hint="eastAsia" w:ascii="方正小标宋简体" w:hAnsi="方正小标宋简体" w:eastAsia="方正小标宋简体" w:cs="方正小标宋简体"/>
          <w:color w:val="000000"/>
          <w:kern w:val="0"/>
          <w:sz w:val="36"/>
          <w:szCs w:val="36"/>
        </w:rPr>
        <w:t>）2024年区政府工作报告重点工作落实情况表（第</w:t>
      </w:r>
      <w:r>
        <w:rPr>
          <w:rFonts w:hint="eastAsia" w:ascii="方正小标宋简体" w:hAnsi="方正小标宋简体" w:eastAsia="方正小标宋简体" w:cs="方正小标宋简体"/>
          <w:color w:val="000000"/>
          <w:kern w:val="0"/>
          <w:sz w:val="36"/>
          <w:szCs w:val="36"/>
          <w:lang w:eastAsia="zh-CN"/>
        </w:rPr>
        <w:t>一</w:t>
      </w:r>
      <w:r>
        <w:rPr>
          <w:rFonts w:hint="eastAsia" w:ascii="方正小标宋简体" w:hAnsi="方正小标宋简体" w:eastAsia="方正小标宋简体" w:cs="方正小标宋简体"/>
          <w:color w:val="000000"/>
          <w:kern w:val="0"/>
          <w:sz w:val="36"/>
          <w:szCs w:val="36"/>
        </w:rPr>
        <w:t>季度）</w:t>
      </w:r>
      <w:bookmarkEnd w:id="0"/>
    </w:p>
    <w:tbl>
      <w:tblPr>
        <w:tblStyle w:val="4"/>
        <w:tblW w:w="13245" w:type="dxa"/>
        <w:tblInd w:w="4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798"/>
        <w:gridCol w:w="2244"/>
        <w:gridCol w:w="1776"/>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blHeader/>
        </w:trPr>
        <w:tc>
          <w:tcPr>
            <w:tcW w:w="76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序号</w:t>
            </w:r>
          </w:p>
        </w:tc>
        <w:tc>
          <w:tcPr>
            <w:tcW w:w="1798"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任务来源</w:t>
            </w:r>
          </w:p>
        </w:tc>
        <w:tc>
          <w:tcPr>
            <w:tcW w:w="2244"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任务内容</w:t>
            </w:r>
          </w:p>
        </w:tc>
        <w:tc>
          <w:tcPr>
            <w:tcW w:w="1776"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区级责任部门</w:t>
            </w:r>
          </w:p>
        </w:tc>
        <w:tc>
          <w:tcPr>
            <w:tcW w:w="6662"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进展情况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ascii="仿宋_GB2312" w:hAnsi="仿宋_GB2312" w:eastAsia="仿宋_GB2312" w:cs="仿宋_GB2312"/>
                <w:sz w:val="32"/>
                <w:szCs w:val="32"/>
              </w:rPr>
            </w:pPr>
            <w:r>
              <w:rPr>
                <w:rFonts w:hint="eastAsia" w:ascii="仿宋_GB2312" w:hAnsi="Arial" w:eastAsia="仿宋_GB2312" w:cs="仿宋_GB2312"/>
                <w:color w:val="000000"/>
                <w:kern w:val="0"/>
                <w:sz w:val="24"/>
              </w:rPr>
              <w:t>1</w:t>
            </w:r>
          </w:p>
        </w:tc>
        <w:tc>
          <w:tcPr>
            <w:tcW w:w="1798" w:type="dxa"/>
            <w:vAlign w:val="center"/>
          </w:tcPr>
          <w:p>
            <w:pPr>
              <w:widowControl/>
              <w:jc w:val="center"/>
              <w:textAlignment w:val="center"/>
              <w:rPr>
                <w:rFonts w:ascii="仿宋_GB2312" w:hAnsi="仿宋_GB2312" w:eastAsia="仿宋_GB2312" w:cs="仿宋_GB2312"/>
                <w:sz w:val="32"/>
                <w:szCs w:val="32"/>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w:t>
            </w:r>
            <w:r>
              <w:rPr>
                <w:rFonts w:hint="eastAsia" w:ascii="仿宋_GB2312" w:hAnsi="Arial" w:eastAsia="仿宋_GB2312" w:cs="仿宋_GB2312"/>
                <w:color w:val="000000"/>
                <w:kern w:val="0"/>
                <w:sz w:val="24"/>
                <w:lang w:val="en-US" w:eastAsia="zh-CN"/>
              </w:rPr>
              <w:t>7</w:t>
            </w:r>
            <w:r>
              <w:rPr>
                <w:rFonts w:hint="eastAsia" w:ascii="仿宋_GB2312" w:hAnsi="Arial" w:eastAsia="仿宋_GB2312" w:cs="仿宋_GB2312"/>
                <w:color w:val="000000"/>
                <w:kern w:val="0"/>
                <w:sz w:val="24"/>
              </w:rPr>
              <w:t>项</w:t>
            </w:r>
          </w:p>
        </w:tc>
        <w:tc>
          <w:tcPr>
            <w:tcW w:w="2244" w:type="dxa"/>
            <w:vAlign w:val="center"/>
          </w:tcPr>
          <w:p>
            <w:pPr>
              <w:widowControl/>
              <w:jc w:val="left"/>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抓好保障性住房建设、“平急两用”公共基础设施建设、城中村改造等“三大工程”。</w:t>
            </w:r>
          </w:p>
        </w:tc>
        <w:tc>
          <w:tcPr>
            <w:tcW w:w="1776" w:type="dxa"/>
            <w:vAlign w:val="center"/>
          </w:tcPr>
          <w:p>
            <w:pPr>
              <w:widowControl/>
              <w:jc w:val="center"/>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应急局</w:t>
            </w:r>
          </w:p>
        </w:tc>
        <w:tc>
          <w:tcPr>
            <w:tcW w:w="6662" w:type="dxa"/>
            <w:vAlign w:val="center"/>
          </w:tcPr>
          <w:p>
            <w:pPr>
              <w:widowControl/>
              <w:jc w:val="left"/>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1月19日，我局对接规自、水务、消防等单位，收集应急转移安置课题研究所需相 关数据材料。1月23日至25日，协调教委、体育局、朝阳站办等相关单位和三里屯 、和平街、金盏等街乡，对北京市朝阳区实验小学、北京中学（东泽校区）、清 华附中广华学校等12所中小学校，工人体育场、朝阳体育中心2处体育场，北京朝 阳站、东大桥地铁站2处交通枢纽，幸福二村、和平西苑、金第花园3个小区，彩 虹村庄养老院开展实地调研。3月18日，组织召开工作座谈会，郭岩副局长听取工 作组汇报项目进展和工作情况，并部署下一步工作。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hint="eastAsia" w:ascii="仿宋_GB2312" w:hAnsi="仿宋_GB2312" w:eastAsia="仿宋_GB2312" w:cs="仿宋_GB2312"/>
                <w:sz w:val="32"/>
                <w:szCs w:val="32"/>
                <w:lang w:eastAsia="zh-CN"/>
              </w:rPr>
            </w:pPr>
            <w:r>
              <w:rPr>
                <w:rFonts w:hint="eastAsia" w:ascii="仿宋_GB2312" w:hAnsi="Arial" w:eastAsia="仿宋_GB2312" w:cs="仿宋_GB2312"/>
                <w:color w:val="000000"/>
                <w:kern w:val="0"/>
                <w:sz w:val="24"/>
                <w:lang w:val="en-US" w:eastAsia="zh-CN"/>
              </w:rPr>
              <w:t>2</w:t>
            </w:r>
          </w:p>
        </w:tc>
        <w:tc>
          <w:tcPr>
            <w:tcW w:w="1798" w:type="dxa"/>
            <w:vAlign w:val="center"/>
          </w:tcPr>
          <w:p>
            <w:pPr>
              <w:widowControl/>
              <w:jc w:val="center"/>
              <w:textAlignment w:val="center"/>
              <w:rPr>
                <w:rFonts w:ascii="仿宋_GB2312" w:hAnsi="仿宋_GB2312" w:eastAsia="仿宋_GB2312" w:cs="仿宋_GB2312"/>
                <w:sz w:val="32"/>
                <w:szCs w:val="32"/>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w:t>
            </w:r>
            <w:r>
              <w:rPr>
                <w:rFonts w:hint="eastAsia" w:ascii="仿宋_GB2312" w:hAnsi="Arial" w:eastAsia="仿宋_GB2312" w:cs="仿宋_GB2312"/>
                <w:color w:val="000000"/>
                <w:kern w:val="0"/>
                <w:sz w:val="24"/>
                <w:lang w:val="en-US" w:eastAsia="zh-CN"/>
              </w:rPr>
              <w:t>104</w:t>
            </w:r>
            <w:r>
              <w:rPr>
                <w:rFonts w:hint="eastAsia" w:ascii="仿宋_GB2312" w:hAnsi="Arial" w:eastAsia="仿宋_GB2312" w:cs="仿宋_GB2312"/>
                <w:color w:val="000000"/>
                <w:kern w:val="0"/>
                <w:sz w:val="24"/>
              </w:rPr>
              <w:t>项</w:t>
            </w:r>
          </w:p>
        </w:tc>
        <w:tc>
          <w:tcPr>
            <w:tcW w:w="2244" w:type="dxa"/>
            <w:vAlign w:val="center"/>
          </w:tcPr>
          <w:p>
            <w:pPr>
              <w:widowControl/>
              <w:jc w:val="left"/>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坚持以案为鉴、警钟长鸣，深化村民自建出租房屋、电动自行车、施工动火作业、限额以下工程、电气电路安全等专项整治，坚决防范和遏制重特大事故发生。</w:t>
            </w:r>
          </w:p>
        </w:tc>
        <w:tc>
          <w:tcPr>
            <w:tcW w:w="1776" w:type="dxa"/>
            <w:vAlign w:val="center"/>
          </w:tcPr>
          <w:p>
            <w:pPr>
              <w:widowControl/>
              <w:jc w:val="center"/>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应急局</w:t>
            </w:r>
          </w:p>
        </w:tc>
        <w:tc>
          <w:tcPr>
            <w:tcW w:w="6662" w:type="dxa"/>
            <w:vAlign w:val="center"/>
          </w:tcPr>
          <w:p>
            <w:pPr>
              <w:widowControl/>
              <w:jc w:val="left"/>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3月4日，朝阳区召开区政府常务会审议通过并印发《北京市朝阳区安全生产治本攻坚三年行动方案（2024-2026年）》（以下简称“方案”），正式启动我区治本攻坚三年行动。朝阳区安全生产治本攻坚三年行动共包含安全生产和火灾隐患大排查大整治深化提升等八大行动共30项工作任务，44条量化评价指标。3月15日，召开朝阳区安全生产治本攻坚三年行动专题会议，确认目标任务清单、行动评价指标区应急局局内分动及专班组建事宜。3月25日，召开朝阳区安全生产和消防安全专题调度会，对安全生产治本攻坚三年行动进行再动员再部署。各行业领域主管部门、各街乡结合朝阳区方案制定本单位子方案，并对19项专项行动制定专项行动方案。截至3月底，朝阳区已有23个单位制定本行业领域安全生产治本攻坚三年行动子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hint="eastAsia" w:ascii="仿宋_GB2312" w:hAnsi="仿宋_GB2312" w:eastAsia="仿宋_GB2312" w:cs="仿宋_GB2312"/>
                <w:sz w:val="32"/>
                <w:szCs w:val="32"/>
                <w:lang w:eastAsia="zh-CN"/>
              </w:rPr>
            </w:pPr>
            <w:r>
              <w:rPr>
                <w:rFonts w:hint="eastAsia" w:ascii="仿宋_GB2312" w:hAnsi="Arial" w:eastAsia="仿宋_GB2312" w:cs="仿宋_GB2312"/>
                <w:color w:val="000000"/>
                <w:kern w:val="0"/>
                <w:sz w:val="24"/>
                <w:lang w:val="en-US" w:eastAsia="zh-CN"/>
              </w:rPr>
              <w:t>3</w:t>
            </w:r>
          </w:p>
        </w:tc>
        <w:tc>
          <w:tcPr>
            <w:tcW w:w="1798" w:type="dxa"/>
            <w:vAlign w:val="center"/>
          </w:tcPr>
          <w:p>
            <w:pPr>
              <w:widowControl/>
              <w:jc w:val="center"/>
              <w:textAlignment w:val="center"/>
              <w:rPr>
                <w:rFonts w:ascii="仿宋_GB2312" w:hAnsi="仿宋_GB2312" w:eastAsia="仿宋_GB2312" w:cs="仿宋_GB2312"/>
                <w:sz w:val="32"/>
                <w:szCs w:val="32"/>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w:t>
            </w:r>
            <w:r>
              <w:rPr>
                <w:rFonts w:hint="eastAsia" w:ascii="仿宋_GB2312" w:hAnsi="Arial" w:eastAsia="仿宋_GB2312" w:cs="仿宋_GB2312"/>
                <w:color w:val="000000"/>
                <w:kern w:val="0"/>
                <w:sz w:val="24"/>
                <w:lang w:val="en-US" w:eastAsia="zh-CN"/>
              </w:rPr>
              <w:t>108</w:t>
            </w:r>
            <w:r>
              <w:rPr>
                <w:rFonts w:hint="eastAsia" w:ascii="仿宋_GB2312" w:hAnsi="Arial" w:eastAsia="仿宋_GB2312" w:cs="仿宋_GB2312"/>
                <w:color w:val="000000"/>
                <w:kern w:val="0"/>
                <w:sz w:val="24"/>
              </w:rPr>
              <w:t>项</w:t>
            </w:r>
          </w:p>
        </w:tc>
        <w:tc>
          <w:tcPr>
            <w:tcW w:w="2244" w:type="dxa"/>
            <w:vAlign w:val="center"/>
          </w:tcPr>
          <w:p>
            <w:pPr>
              <w:widowControl/>
              <w:jc w:val="left"/>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衔接好“防”与“救”的责任链条，强化长周期规划、分步骤实施，提升防灾减灾救灾能力。加快海绵城市建设，推进金盏坝河口蓄滞洪区、大华窑排水沟河道等治理工程。</w:t>
            </w:r>
          </w:p>
        </w:tc>
        <w:tc>
          <w:tcPr>
            <w:tcW w:w="1776" w:type="dxa"/>
            <w:vAlign w:val="center"/>
          </w:tcPr>
          <w:p>
            <w:pPr>
              <w:widowControl/>
              <w:jc w:val="center"/>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应急局</w:t>
            </w:r>
          </w:p>
        </w:tc>
        <w:tc>
          <w:tcPr>
            <w:tcW w:w="6662" w:type="dxa"/>
            <w:vAlign w:val="center"/>
          </w:tcPr>
          <w:p>
            <w:pPr>
              <w:widowControl/>
              <w:jc w:val="left"/>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与市级对接防灾减灾救灾工作，到市应急局队伍处、救灾处进行调研学习，积极与减灾处对接市级防灾减灾救灾组织体系建设情况。目前市级防灾减灾救灾委员会拟在应急委加挂牌子，市级工作方案正在报批过程中。下发我区开展2024年安全社区和综合减灾示范社区创建（复评）工作的通知，学习研究市韧性城市空间专项规化。参加市级第一次应急队伍大练兵观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hint="eastAsia" w:ascii="仿宋_GB2312" w:hAnsi="仿宋_GB2312" w:eastAsia="仿宋_GB2312" w:cs="仿宋_GB2312"/>
                <w:sz w:val="32"/>
                <w:szCs w:val="32"/>
                <w:lang w:eastAsia="zh-CN"/>
              </w:rPr>
            </w:pPr>
            <w:r>
              <w:rPr>
                <w:rFonts w:hint="eastAsia" w:ascii="仿宋_GB2312" w:hAnsi="Arial" w:eastAsia="仿宋_GB2312" w:cs="仿宋_GB2312"/>
                <w:color w:val="000000"/>
                <w:kern w:val="0"/>
                <w:sz w:val="24"/>
                <w:lang w:val="en-US" w:eastAsia="zh-CN"/>
              </w:rPr>
              <w:t>4</w:t>
            </w:r>
          </w:p>
        </w:tc>
        <w:tc>
          <w:tcPr>
            <w:tcW w:w="1798" w:type="dxa"/>
            <w:vAlign w:val="center"/>
          </w:tcPr>
          <w:p>
            <w:pPr>
              <w:widowControl/>
              <w:jc w:val="center"/>
              <w:textAlignment w:val="center"/>
              <w:rPr>
                <w:rFonts w:ascii="仿宋_GB2312" w:hAnsi="仿宋_GB2312" w:eastAsia="仿宋_GB2312" w:cs="仿宋_GB2312"/>
                <w:sz w:val="32"/>
                <w:szCs w:val="32"/>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w:t>
            </w:r>
            <w:r>
              <w:rPr>
                <w:rFonts w:hint="eastAsia" w:ascii="仿宋_GB2312" w:hAnsi="Arial" w:eastAsia="仿宋_GB2312" w:cs="仿宋_GB2312"/>
                <w:color w:val="000000"/>
                <w:kern w:val="0"/>
                <w:sz w:val="24"/>
                <w:lang w:val="en-US" w:eastAsia="zh-CN"/>
              </w:rPr>
              <w:t>109</w:t>
            </w:r>
            <w:r>
              <w:rPr>
                <w:rFonts w:hint="eastAsia" w:ascii="仿宋_GB2312" w:hAnsi="Arial" w:eastAsia="仿宋_GB2312" w:cs="仿宋_GB2312"/>
                <w:color w:val="000000"/>
                <w:kern w:val="0"/>
                <w:sz w:val="24"/>
              </w:rPr>
              <w:t>项</w:t>
            </w:r>
          </w:p>
        </w:tc>
        <w:tc>
          <w:tcPr>
            <w:tcW w:w="2244" w:type="dxa"/>
            <w:vAlign w:val="center"/>
          </w:tcPr>
          <w:p>
            <w:pPr>
              <w:widowControl/>
              <w:jc w:val="left"/>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强化人防工程建设和维护，推进应急避难场所建设。</w:t>
            </w:r>
          </w:p>
        </w:tc>
        <w:tc>
          <w:tcPr>
            <w:tcW w:w="1776" w:type="dxa"/>
            <w:vAlign w:val="center"/>
          </w:tcPr>
          <w:p>
            <w:pPr>
              <w:widowControl/>
              <w:jc w:val="center"/>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应急局</w:t>
            </w:r>
          </w:p>
        </w:tc>
        <w:tc>
          <w:tcPr>
            <w:tcW w:w="6662" w:type="dxa"/>
            <w:vAlign w:val="center"/>
          </w:tcPr>
          <w:p>
            <w:pPr>
              <w:widowControl/>
              <w:jc w:val="left"/>
              <w:textAlignment w:val="center"/>
              <w:rPr>
                <w:rFonts w:hint="eastAsia" w:ascii="仿宋_GB2312" w:hAnsi="Arial" w:eastAsia="仿宋_GB2312" w:cs="仿宋_GB2312"/>
                <w:color w:val="000000"/>
                <w:kern w:val="0"/>
                <w:sz w:val="24"/>
              </w:rPr>
            </w:pPr>
            <w:r>
              <w:rPr>
                <w:rFonts w:hint="eastAsia" w:ascii="仿宋_GB2312" w:hAnsi="Arial" w:eastAsia="仿宋_GB2312" w:cs="仿宋_GB2312"/>
                <w:color w:val="000000"/>
                <w:kern w:val="0"/>
                <w:sz w:val="24"/>
              </w:rPr>
              <w:t>2024年3月27日，召开朝阳区应急避难场所工作培训暨规划编制部署会；要求各相关单位结合各街乡实际，科学规划建设应急避难场所，选择适合的级别类别场所进行建设，建立适应本地区主要灾害事故为主、其他灾害事故为辅的应急避难场所，并将相关落实情况及时上报</w:t>
            </w:r>
            <w:r>
              <w:rPr>
                <w:rFonts w:hint="eastAsia" w:ascii="仿宋_GB2312" w:hAnsi="Arial" w:eastAsia="仿宋_GB2312" w:cs="仿宋_GB2312"/>
                <w:color w:val="000000"/>
                <w:kern w:val="0"/>
                <w:sz w:val="24"/>
                <w:lang w:eastAsia="zh-CN"/>
              </w:rPr>
              <w:t>。</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9E2663"/>
    <w:rsid w:val="5B9E2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2024-04-09T06:58:00Z</dcterms:created>
  <dc:creator>李施谊</dc:creator>
  <cp:lastModifiedBy>李施谊</cp:lastModifiedBy>
  <dcterms:modified xsi:type="dcterms:W3CDTF">2024-04-09T07:04:20Z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