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（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朝阳区应急管理局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）2024年区政府工作报告重点工作落实情况表（第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季度）</w:t>
      </w:r>
    </w:p>
    <w:bookmarkEnd w:id="0"/>
    <w:tbl>
      <w:tblPr>
        <w:tblStyle w:val="4"/>
        <w:tblW w:w="13245" w:type="dxa"/>
        <w:tblInd w:w="4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798"/>
        <w:gridCol w:w="2244"/>
        <w:gridCol w:w="1776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tblHeader/>
        </w:trPr>
        <w:tc>
          <w:tcPr>
            <w:tcW w:w="76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798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任务来源</w:t>
            </w:r>
          </w:p>
        </w:tc>
        <w:tc>
          <w:tcPr>
            <w:tcW w:w="2244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任务内容</w:t>
            </w:r>
          </w:p>
        </w:tc>
        <w:tc>
          <w:tcPr>
            <w:tcW w:w="1776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区级责任部门</w:t>
            </w:r>
          </w:p>
        </w:tc>
        <w:tc>
          <w:tcPr>
            <w:tcW w:w="6662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6" w:hRule="atLeast"/>
        </w:trPr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区折子第7项</w:t>
            </w:r>
          </w:p>
        </w:tc>
        <w:tc>
          <w:tcPr>
            <w:tcW w:w="22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抓好保障性住房建设、“平急两用”公共基础设施建设、城中村改造等“三大工程”。</w:t>
            </w:r>
          </w:p>
        </w:tc>
        <w:tc>
          <w:tcPr>
            <w:tcW w:w="17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应急局</w:t>
            </w:r>
          </w:p>
        </w:tc>
        <w:tc>
          <w:tcPr>
            <w:tcW w:w="66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编制完成，并通过评审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6" w:hRule="atLeast"/>
        </w:trPr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区折子第104项</w:t>
            </w:r>
          </w:p>
        </w:tc>
        <w:tc>
          <w:tcPr>
            <w:tcW w:w="22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坚持以案为鉴、警钟长鸣，深化村民自建出租房屋、电动自行车、施工动火作业、限额以下工程、电气电路安全等专项整治，坚决防范和遏制重特大事故发生。</w:t>
            </w:r>
          </w:p>
        </w:tc>
        <w:tc>
          <w:tcPr>
            <w:tcW w:w="17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应急局</w:t>
            </w:r>
          </w:p>
        </w:tc>
        <w:tc>
          <w:tcPr>
            <w:tcW w:w="66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月18日，区安委会发布《关于开展“企安安”系统质效核查工作的通知》，9月23日起，组织三方评审机构进行“企安安”系统质效核查，抽取一定比例的“企安安”账内外企业，按照台账总数1000家以下的街乡抽查50家，2000家以下的抽查75家，2000家以上的抽查100家的方式进行核查。对重大事故隐患企业按照100%的比例进行实地核查。同时，对我区三年行动涉及到的2024年评价指标进行解读，根据各单位工作开展情况实施三年行动开展情况预评价。 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区折子第108项</w:t>
            </w:r>
          </w:p>
        </w:tc>
        <w:tc>
          <w:tcPr>
            <w:tcW w:w="22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衔接好“防”与“救”的责任链条，强化长周期规划、分步骤实施，提升防灾减灾救灾能力。加快海绵城市建设，推进金盏坝河口蓄滞洪区、大华窑排水沟河道等治理工程。</w:t>
            </w:r>
          </w:p>
        </w:tc>
        <w:tc>
          <w:tcPr>
            <w:tcW w:w="17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应急局</w:t>
            </w:r>
          </w:p>
        </w:tc>
        <w:tc>
          <w:tcPr>
            <w:tcW w:w="66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编制印发朝阳区韧性城市建设年度工作要点。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0" w:hRule="atLeast"/>
        </w:trPr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区折子第109项</w:t>
            </w:r>
          </w:p>
        </w:tc>
        <w:tc>
          <w:tcPr>
            <w:tcW w:w="22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强化人防工程建设和维护，推进应急避难场所建设。</w:t>
            </w:r>
          </w:p>
        </w:tc>
        <w:tc>
          <w:tcPr>
            <w:tcW w:w="17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应急局</w:t>
            </w:r>
          </w:p>
        </w:tc>
        <w:tc>
          <w:tcPr>
            <w:tcW w:w="66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与规划编制专家对接后续工作，拟定于10月中旬召开全区推进会，征求各单位意见。</w:t>
            </w:r>
          </w:p>
        </w:tc>
      </w:tr>
    </w:tbl>
    <w:p/>
    <w:sectPr>
      <w:pgSz w:w="16838" w:h="11906" w:orient="landscape"/>
      <w:pgMar w:top="1800" w:right="1440" w:bottom="212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9E2663"/>
    <w:rsid w:val="4CCD1AFE"/>
    <w:rsid w:val="5B9E2663"/>
    <w:rsid w:val="5FBA2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2024-04-09T06:58:00Z</dcterms:created>
  <dc:creator>李施谊</dc:creator>
  <cp:lastModifiedBy>李施谊</cp:lastModifiedBy>
  <dcterms:modified xsi:type="dcterms:W3CDTF">2024-10-18T03:09:50Z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