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78F93E">
      <w:p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</w:p>
    <w:p w14:paraId="0ECAEB1E">
      <w:pPr>
        <w:spacing w:line="480" w:lineRule="exact"/>
        <w:rPr>
          <w:rFonts w:ascii="方正小标宋简体" w:eastAsia="方正小标宋简体"/>
          <w:sz w:val="36"/>
          <w:szCs w:val="36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 w14:paraId="6C125C62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部门整体绩效评价报告</w:t>
      </w:r>
    </w:p>
    <w:p w14:paraId="799D474A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</w:p>
    <w:p w14:paraId="693079A8">
      <w:pPr>
        <w:jc w:val="center"/>
        <w:rPr>
          <w:rFonts w:ascii="仿宋_GB2312"/>
          <w:szCs w:val="30"/>
        </w:rPr>
      </w:pPr>
    </w:p>
    <w:p w14:paraId="3180B4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一、部门概况</w:t>
      </w:r>
    </w:p>
    <w:p w14:paraId="73EF0A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（一）机构设置及职责工作任务情况</w:t>
      </w:r>
    </w:p>
    <w:p w14:paraId="668A8C68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57"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根据北京市朝阳区委区政府印发的关于《中共北京市朝阳区委教育工作委员会、北京市朝阳区教育委员会职能配置、内设机构和人员编制规定》，北京市朝阳区教育委员会下设18个内设机构，另设置教育工会。主要负责贯彻落实党的教育方针、政策和国家有关教育的法律、法规；管理基础教育、职业教育、成人教育、特殊教育和校外教育；统筹管理、使用教育经费；负责管理本级教师和管理人员队伍建设；管理本级国有资产；负责本区语言文字规范化建设和教育基本信息的统计、分析和发布等工作。</w:t>
      </w:r>
    </w:p>
    <w:p w14:paraId="2B41C721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57"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教育系统将全面深入学习贯彻党的二十大精神，围绕“建设教育强国，基点在基础教育”的战略部署，聚焦“宜学”朝阳建设，坚持稳中求进工作总基调，以党建为引领，以高质量发展为主线，以核心素养为导向，以拔尖创新人才培养为核心，以深化合作为载体，加快推进朝阳特色教育强区建设，奋力谱写中国式现代化建设的朝阳教育发展新篇章。</w:t>
      </w:r>
    </w:p>
    <w:p w14:paraId="13635C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（二）部门整体绩效目标设立情况。</w:t>
      </w:r>
    </w:p>
    <w:p w14:paraId="4BBA3C7B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部门整体预算优先保障朝阳区教育系统教职工工资待遇，维持学校正常运转，努力办好人民满意的教育，充分发挥政府在推广普惠性学前教育方面的引领作用，发展普惠安全优质的学前教育；发展高质量基础教育，推进义务教育“双减”工作及品牌化建设，全面落实立德树人根本任务，坚持五育并举，培养德智体美劳全面发展的社会主义建设者和接班人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</w:p>
    <w:p w14:paraId="249E86C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二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、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当年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预算执行情况</w:t>
      </w:r>
    </w:p>
    <w:p w14:paraId="04C42D2A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年全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预算数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1426240.16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万元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其中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，基本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支出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预算数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999176.59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万元，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项目支出预算数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val="en-US" w:eastAsia="zh-CN"/>
        </w:rPr>
        <w:t>427063.57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万元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。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资金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eastAsia="zh-CN"/>
        </w:rPr>
        <w:t>实际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支出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val="en-US" w:eastAsia="zh-CN"/>
        </w:rPr>
        <w:t>1416914.19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万元，其中，基本支出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999176.59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万元，项目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支出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417737.61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万元，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年末结转和结余9325.96万元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预算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执行率为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val="en-US" w:eastAsia="zh-CN"/>
        </w:rPr>
        <w:t>99.35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%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。</w:t>
      </w:r>
    </w:p>
    <w:p w14:paraId="5ED941B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640" w:firstLineChars="200"/>
        <w:textAlignment w:val="auto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、整体绩效目标实现情况</w:t>
      </w:r>
    </w:p>
    <w:p w14:paraId="68AD5249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202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年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</w:rPr>
        <w:t>朝阳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区持续深化教育综合改革，办好与“五宜”朝阳相匹配的高质量教育，奋力答好“教育强国、朝阳何为”的时代答卷，推进特色教育强区建设迈上新台阶。获评首批全国义务教育优质均衡发展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eastAsia="zh-CN"/>
        </w:rPr>
        <w:t>区，入选全国学校家庭社会协同育人实验区、全国中小学科学教育实验区、北京市“大中小学思想政治教育一体化改革创新试验区”。</w:t>
      </w:r>
    </w:p>
    <w:p w14:paraId="214CAE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textAlignment w:val="auto"/>
        <w:rPr>
          <w:rFonts w:hint="eastAsia" w:ascii="楷体_GB2312" w:eastAsia="楷体_GB2312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sz w:val="32"/>
          <w:szCs w:val="32"/>
          <w:lang w:val="en-US" w:eastAsia="zh-CN"/>
        </w:rPr>
        <w:t>（一）坚持扩容提质，教育资源供给布局进一步优化</w:t>
      </w:r>
    </w:p>
    <w:p w14:paraId="07A1C3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围绕“南部崛起、东部跨越、北部提升”战略部署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布局优质资源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启动北师大附属实验中学朝阳学校规划建设。校地合作举办北京中学科技分校，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东北部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八十中学孙河校区、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首都师范大学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金泽小学东坝驹子房校区，东南部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北京市十一学校朝阳实验学校小学部、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芳草地国际学校富力分校丽景嘉苑校区，以及东部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清华大学附属中学管庄学校紫荆校区，均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实现高水平开学，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点亮“朝阳区教育集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团（联盟）贯通培养新地图”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年共新增中小学、幼儿园学位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12000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个，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新增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托位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2960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个。</w:t>
      </w:r>
    </w:p>
    <w:p w14:paraId="4B169D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textAlignment w:val="auto"/>
        <w:rPr>
          <w:rFonts w:hint="eastAsia" w:ascii="楷体_GB2312" w:eastAsia="楷体_GB2312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sz w:val="32"/>
          <w:szCs w:val="32"/>
          <w:lang w:val="en-US" w:eastAsia="zh-CN"/>
        </w:rPr>
        <w:t>（二）坚持系统提升，高质量发展品牌进一步擦亮</w:t>
      </w:r>
    </w:p>
    <w:p w14:paraId="4CB647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坚持规划先行，研制发布思想政治教育、创新人才培养、家校社协同育人、科学教育行动计划等朝阳教育高质量发展系列支撑政策，以思政课建设为牵引，以拔尖创新人才培养为重点，以家校社协同育人为抓手，以人才队伍为支撑，以优化教育资源布局为保障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以高科技企业支持特色发展模式为驱动，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一体化促进教育发展水平提升。在全市率先发布人工智能赋能教育高质量发展三年行动计划。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成立全市首个区级青少年创新学院，组建首批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 w:bidi="ar"/>
        </w:rPr>
        <w:t>30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个区级创新培养基地。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9所学校入选清华大学、北京大学人才基地校。八十中学入选教育部中小学人工智能教育基地，4所学校入选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北京市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基础教育人工智能应用试点学校，7所学校入选北京市第二批智慧校园示范校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。</w:t>
      </w:r>
    </w:p>
    <w:p w14:paraId="3016F5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textAlignment w:val="auto"/>
        <w:rPr>
          <w:rFonts w:hint="eastAsia" w:ascii="楷体_GB2312" w:eastAsia="楷体_GB2312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sz w:val="32"/>
          <w:szCs w:val="32"/>
          <w:lang w:val="en-US" w:eastAsia="zh-CN"/>
        </w:rPr>
        <w:t>（三）坚持素养为本，全面育人质量进一步提升</w:t>
      </w:r>
    </w:p>
    <w:p w14:paraId="50D04F7F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highlight w:val="none"/>
        </w:rPr>
        <w:t>2023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</w:rPr>
        <w:t>年国家义务教育质量监测结果居北京市首位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</w:rPr>
        <w:t>全国前列。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中高考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成绩稳中有升，高分段取得历史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性突破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。和首都师范大学联合发布美育高质量发展“十百千万”工程，共建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“美育实践基地”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，推动区域中小学美育高质量发展。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所中学入选北京市研究协作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体。</w:t>
      </w:r>
      <w:r>
        <w:rPr>
          <w:rFonts w:hint="eastAsia" w:ascii="Times New Roman" w:hAnsi="Times New Roman" w:eastAsia="仿宋_GB2312" w:cs="Times New Roman"/>
          <w:bCs/>
          <w:caps w:val="0"/>
          <w:color w:val="000000"/>
          <w:sz w:val="32"/>
          <w:szCs w:val="32"/>
          <w:lang w:val="en-US" w:eastAsia="zh-CN"/>
        </w:rPr>
        <w:t>陈经纶中学被推荐为第一批全国依法治校示范校。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建设书香校园，市级多项阅读比赛中获奖数量和获奖率均居全市第一。学生团队在世界职业院校技能大赛总决赛争夺赛中斩获一金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两铜。连续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年有学生获“北京市优秀学生”荣誉称号。</w:t>
      </w:r>
    </w:p>
    <w:p w14:paraId="778B580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textAlignment w:val="auto"/>
        <w:rPr>
          <w:rFonts w:hint="eastAsia" w:ascii="楷体_GB2312" w:eastAsia="楷体_GB2312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sz w:val="32"/>
          <w:szCs w:val="32"/>
          <w:lang w:val="en-US" w:eastAsia="zh-CN"/>
        </w:rPr>
        <w:t>（四）坚持学术引领，教育高质量发展成果进一步涌现</w:t>
      </w:r>
    </w:p>
    <w:p w14:paraId="67E5E854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  <w:t>教科研水平提升，朝阳区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  <w:t>项科学课程实施案例被评为教育部典型案例。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智慧作业入选中国教育报“区域教育高质量发展实践案例”，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  <w:t>朝阳区“科技赋能基础教育探索朝阳数智教育应用”案例在北京市教育大数据创新应用案例中位列第一。</w:t>
      </w:r>
    </w:p>
    <w:p w14:paraId="072BCFA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textAlignment w:val="auto"/>
        <w:rPr>
          <w:rFonts w:hint="eastAsia" w:ascii="楷体_GB2312" w:eastAsia="楷体_GB2312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sz w:val="32"/>
          <w:szCs w:val="32"/>
          <w:lang w:val="en-US" w:eastAsia="zh-CN"/>
        </w:rPr>
        <w:t>（五）坚持首善标准，人民群众教育获得感进一步增强</w:t>
      </w:r>
    </w:p>
    <w:p w14:paraId="2C123DC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yellow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通学车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校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址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83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条线路运行“零事故”、车辆“零故障”，准点率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%，通学车辆、乘坐人数全市遥遥领先。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深入开展培训机构办学行为全领域监管，健全校外培训治理长效常态机制，课后服务学生数占比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提升至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  <w:t>97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%（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同比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提升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%）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“双减”通过北京市专项督导，区级满意度调查综合评级“满意”。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筑牢食品安全底线，开展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在校就餐质量提升三年行动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2"/>
          <w:sz w:val="32"/>
          <w:szCs w:val="32"/>
          <w:highlight w:val="none"/>
          <w:lang w:val="en-US" w:eastAsia="zh-CN" w:bidi="ar-SA"/>
        </w:rPr>
        <w:t>推进中小学校园食品安全和膳食经费管理突出问题专项整治，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 w:bidi="ar-SA"/>
        </w:rPr>
        <w:t>以“小切口”落实大民生，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推动“桶餐到班”、非一次性餐具配备等民生实事落地，学生就餐体验得到明显改善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。牵头创建北京市学习型城市示范区，完善服务全民终身学习教育体系，进一步营造人人皆学、处处能学、时时可学的社会环境。</w:t>
      </w:r>
    </w:p>
    <w:p w14:paraId="02B0F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textAlignment w:val="auto"/>
        <w:rPr>
          <w:rFonts w:hint="eastAsia" w:ascii="楷体_GB2312" w:eastAsia="楷体_GB2312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sz w:val="32"/>
          <w:szCs w:val="32"/>
          <w:lang w:val="en-US" w:eastAsia="zh-CN"/>
        </w:rPr>
        <w:t>（六）坚持人才强教，高水平教育人才高地进一步打</w:t>
      </w:r>
    </w:p>
    <w:p w14:paraId="395D5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textAlignment w:val="auto"/>
        <w:rPr>
          <w:rFonts w:hint="eastAsia" w:eastAsia="仿宋_GB231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印发《关于加强新时代朝阳区教育高层次人才队伍建设的支持计划》，为教育人才引进、培养、使用、激励提供机制保障。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接力式实施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第五轮“双名工程”，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扎实推进与北师大合作的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“教育家型校长”“教育学者行动计划”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  <w:t>“专家型教师”“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班主任领军人才塑造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”项目建设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培养一批朝阳区教育领军人才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kern w:val="58"/>
          <w:sz w:val="32"/>
          <w:szCs w:val="32"/>
          <w:highlight w:val="none"/>
          <w:lang w:val="en-US" w:eastAsia="zh-CN"/>
        </w:rPr>
        <w:t>开展</w:t>
      </w:r>
      <w:r>
        <w:rPr>
          <w:rFonts w:hint="eastAsia" w:ascii="仿宋_GB2312" w:hAnsi="仿宋_GB2312" w:eastAsia="仿宋_GB2312" w:cs="仿宋_GB2312"/>
          <w:b w:val="0"/>
          <w:bCs w:val="0"/>
          <w:kern w:val="58"/>
          <w:sz w:val="32"/>
          <w:szCs w:val="32"/>
          <w:highlight w:val="none"/>
          <w:lang w:eastAsia="zh-CN"/>
        </w:rPr>
        <w:t>教师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队伍建设年行动，以教育家精神引领教师干事创业，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高端人才增量与总量保持全市前茅。</w:t>
      </w:r>
    </w:p>
    <w:p w14:paraId="41E0F0F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640" w:firstLineChars="200"/>
        <w:textAlignment w:val="auto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四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、预算管理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情况</w:t>
      </w:r>
    </w:p>
    <w:p w14:paraId="580476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640" w:firstLineChars="200"/>
        <w:textAlignment w:val="auto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（一）财务管理</w:t>
      </w:r>
    </w:p>
    <w:p w14:paraId="4CCEFC33"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为进一步加强区教委及所属单位绩管理，促进管理工作制度化、规范化、科学化，结合市区相关文件规定及教育系统实际情况，制定《北京市朝阳区教育委员会所属预算单位预算绩效管理实施细则（试行）》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及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《朝阳区中小学校食堂财务管理办法（试行）》</w:t>
      </w:r>
      <w:bookmarkStart w:id="0" w:name="_GoBack"/>
      <w:bookmarkEnd w:id="0"/>
      <w:r>
        <w:rPr>
          <w:rFonts w:hint="eastAsia" w:ascii="仿宋" w:hAnsi="仿宋" w:eastAsia="仿宋" w:cs="仿宋"/>
          <w:bCs/>
          <w:kern w:val="2"/>
          <w:sz w:val="32"/>
          <w:szCs w:val="32"/>
          <w:highlight w:val="none"/>
          <w:lang w:val="en-US" w:eastAsia="zh-CN" w:bidi="ar-SA"/>
        </w:rPr>
        <w:t>。</w:t>
      </w:r>
    </w:p>
    <w:p w14:paraId="25EAA3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640" w:firstLineChars="200"/>
        <w:textAlignment w:val="auto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</w:t>
      </w:r>
      <w:r>
        <w:rPr>
          <w:rFonts w:hint="eastAsia" w:ascii="楷体_GB2312" w:eastAsia="楷体_GB2312"/>
          <w:sz w:val="32"/>
          <w:szCs w:val="32"/>
          <w:lang w:eastAsia="zh-CN"/>
        </w:rPr>
        <w:t>二</w:t>
      </w:r>
      <w:r>
        <w:rPr>
          <w:rFonts w:hint="eastAsia" w:ascii="楷体_GB2312" w:eastAsia="楷体_GB2312"/>
          <w:sz w:val="32"/>
          <w:szCs w:val="32"/>
        </w:rPr>
        <w:t>）绩效</w:t>
      </w:r>
      <w:r>
        <w:rPr>
          <w:rFonts w:ascii="楷体_GB2312" w:eastAsia="楷体_GB2312"/>
          <w:sz w:val="32"/>
          <w:szCs w:val="32"/>
        </w:rPr>
        <w:t>管理</w:t>
      </w:r>
    </w:p>
    <w:p w14:paraId="31A99864"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组织朝阳区教育系统各单位开展2024年度预算绩效运行监控工作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从项目的完成进度和趋势，预计效果的实现进度及预算资金执行情况角度对1,500余个项目开展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全过程绩效管理</w:t>
      </w:r>
      <w:r>
        <w:rPr>
          <w:rFonts w:hint="eastAsia" w:ascii="仿宋" w:hAnsi="仿宋" w:eastAsia="仿宋" w:cs="仿宋"/>
          <w:sz w:val="32"/>
          <w:szCs w:val="32"/>
        </w:rPr>
        <w:t>，提高预算执行效率和资金使用效益。</w:t>
      </w:r>
    </w:p>
    <w:p w14:paraId="52125A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</w:t>
      </w:r>
      <w:r>
        <w:rPr>
          <w:rFonts w:hint="eastAsia" w:ascii="楷体_GB2312" w:eastAsia="楷体_GB2312"/>
          <w:sz w:val="32"/>
          <w:szCs w:val="32"/>
          <w:lang w:eastAsia="zh-CN"/>
        </w:rPr>
        <w:t>三</w:t>
      </w:r>
      <w:r>
        <w:rPr>
          <w:rFonts w:hint="eastAsia" w:ascii="楷体_GB2312" w:eastAsia="楷体_GB2312"/>
          <w:sz w:val="32"/>
          <w:szCs w:val="32"/>
        </w:rPr>
        <w:t>）结转结余率</w:t>
      </w:r>
    </w:p>
    <w:p w14:paraId="6522E75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2024年结转结余资金总额9325.96万元，全年预算支出数1426240.16万元。结转结余率0.65%。</w:t>
      </w:r>
    </w:p>
    <w:p w14:paraId="66A433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640" w:firstLineChars="200"/>
        <w:textAlignment w:val="auto"/>
        <w:rPr>
          <w:rFonts w:hint="eastAsia" w:ascii="楷体_GB2312" w:eastAsia="楷体_GB2312"/>
          <w:sz w:val="32"/>
          <w:szCs w:val="32"/>
          <w:lang w:eastAsia="zh-CN"/>
        </w:rPr>
      </w:pPr>
      <w:r>
        <w:rPr>
          <w:rFonts w:hint="eastAsia" w:ascii="楷体_GB2312" w:eastAsia="楷体_GB2312"/>
          <w:sz w:val="32"/>
          <w:szCs w:val="32"/>
        </w:rPr>
        <w:t>（</w:t>
      </w:r>
      <w:r>
        <w:rPr>
          <w:rFonts w:hint="eastAsia" w:ascii="楷体_GB2312" w:eastAsia="楷体_GB2312"/>
          <w:sz w:val="32"/>
          <w:szCs w:val="32"/>
          <w:lang w:eastAsia="zh-CN"/>
        </w:rPr>
        <w:t>四</w:t>
      </w:r>
      <w:r>
        <w:rPr>
          <w:rFonts w:hint="eastAsia" w:ascii="楷体_GB2312" w:eastAsia="楷体_GB2312"/>
          <w:sz w:val="32"/>
          <w:szCs w:val="32"/>
        </w:rPr>
        <w:t>）部门</w:t>
      </w:r>
      <w:r>
        <w:rPr>
          <w:rFonts w:ascii="楷体_GB2312" w:eastAsia="楷体_GB2312"/>
          <w:sz w:val="32"/>
          <w:szCs w:val="32"/>
        </w:rPr>
        <w:t>预决算差异率</w:t>
      </w:r>
    </w:p>
    <w:p w14:paraId="2E63317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640" w:firstLineChars="200"/>
        <w:textAlignment w:val="auto"/>
        <w:rPr>
          <w:rFonts w:hint="eastAsia" w:ascii="仿宋" w:hAnsi="仿宋" w:eastAsia="仿宋" w:cs="仿宋"/>
          <w:bCs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  <w:highlight w:val="none"/>
          <w:lang w:val="en-US" w:eastAsia="zh-CN" w:bidi="ar-SA"/>
        </w:rPr>
        <w:t>2024年区教委财政拨款为1233874.50万元，财政拨款资金总体支出数为1406309.31万元，资金预决算差异率为13.98%，部门预决算差异率控制情况较好。</w:t>
      </w:r>
    </w:p>
    <w:p w14:paraId="651744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五、总体</w:t>
      </w:r>
      <w:r>
        <w:rPr>
          <w:rFonts w:ascii="黑体" w:hAnsi="黑体" w:eastAsia="黑体"/>
          <w:sz w:val="32"/>
          <w:szCs w:val="32"/>
        </w:rPr>
        <w:t>评价结论</w:t>
      </w:r>
    </w:p>
    <w:p w14:paraId="6246B8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640" w:firstLineChars="200"/>
        <w:textAlignment w:val="auto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（一）评价</w:t>
      </w:r>
      <w:r>
        <w:rPr>
          <w:rFonts w:ascii="楷体_GB2312" w:eastAsia="楷体_GB2312"/>
          <w:sz w:val="32"/>
          <w:szCs w:val="32"/>
        </w:rPr>
        <w:t>得分</w:t>
      </w:r>
      <w:r>
        <w:rPr>
          <w:rFonts w:hint="eastAsia" w:ascii="楷体_GB2312" w:eastAsia="楷体_GB2312"/>
          <w:sz w:val="32"/>
          <w:szCs w:val="32"/>
        </w:rPr>
        <w:t>情况</w:t>
      </w:r>
    </w:p>
    <w:p w14:paraId="52644C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2024年度北京市朝阳区教育委员会部门整体支出绩效评价综合得分97分，综合绩效评定结论为“优”。</w:t>
      </w:r>
    </w:p>
    <w:p w14:paraId="08CDEB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640" w:firstLineChars="200"/>
        <w:textAlignment w:val="auto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（二）存在的问题及原因分析</w:t>
      </w:r>
    </w:p>
    <w:p w14:paraId="241977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  <w:highlight w:val="none"/>
          <w:lang w:val="en-US" w:eastAsia="zh-CN" w:bidi="ar-SA"/>
        </w:rPr>
        <w:t>无</w:t>
      </w:r>
    </w:p>
    <w:p w14:paraId="0698C3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六、措施建议</w:t>
      </w:r>
    </w:p>
    <w:p w14:paraId="6987E1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建议进一步优化绩效目标和绩效指标设定，提升预算绩效管理意识，增强绩效目标设置合理性，充分考虑年度不确定因素，结合往年实际情况设置绩效目标，明确项目执行关键环节的时间节点，确保绩效目标合理可行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EF225C">
    <w:pPr>
      <w:pStyle w:val="5"/>
      <w:jc w:val="right"/>
      <w:rPr>
        <w:rFonts w:ascii="宋体" w:hAnsi="宋体"/>
        <w:sz w:val="28"/>
        <w:szCs w:val="28"/>
      </w:rPr>
    </w:pPr>
  </w:p>
  <w:p w14:paraId="04F4E558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593633"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D39DF"/>
    <w:rsid w:val="001C7834"/>
    <w:rsid w:val="0057202C"/>
    <w:rsid w:val="005E3946"/>
    <w:rsid w:val="00B03B70"/>
    <w:rsid w:val="00CF07EE"/>
    <w:rsid w:val="00E617B2"/>
    <w:rsid w:val="00F42C33"/>
    <w:rsid w:val="020058B7"/>
    <w:rsid w:val="021D229B"/>
    <w:rsid w:val="0250441F"/>
    <w:rsid w:val="02AD361F"/>
    <w:rsid w:val="03AD1AEE"/>
    <w:rsid w:val="03FC1F89"/>
    <w:rsid w:val="0472717F"/>
    <w:rsid w:val="04D330E5"/>
    <w:rsid w:val="054903C9"/>
    <w:rsid w:val="056D7096"/>
    <w:rsid w:val="05922FA0"/>
    <w:rsid w:val="05B04764"/>
    <w:rsid w:val="05EF35A9"/>
    <w:rsid w:val="05F220F7"/>
    <w:rsid w:val="061D4AE9"/>
    <w:rsid w:val="064918B1"/>
    <w:rsid w:val="06D32584"/>
    <w:rsid w:val="074C5FC0"/>
    <w:rsid w:val="07A174CB"/>
    <w:rsid w:val="07AF283C"/>
    <w:rsid w:val="07D77390"/>
    <w:rsid w:val="07DC2F6C"/>
    <w:rsid w:val="07E0545D"/>
    <w:rsid w:val="08E34D8B"/>
    <w:rsid w:val="09047D11"/>
    <w:rsid w:val="093130D5"/>
    <w:rsid w:val="094840A2"/>
    <w:rsid w:val="09652EA6"/>
    <w:rsid w:val="098608AA"/>
    <w:rsid w:val="09C661EE"/>
    <w:rsid w:val="09E56D3C"/>
    <w:rsid w:val="0AD41965"/>
    <w:rsid w:val="0AF62277"/>
    <w:rsid w:val="0AF83FB9"/>
    <w:rsid w:val="0CB96CBB"/>
    <w:rsid w:val="0CE642FD"/>
    <w:rsid w:val="0D7C07BE"/>
    <w:rsid w:val="0DED1E8E"/>
    <w:rsid w:val="0E1E49F8"/>
    <w:rsid w:val="0E5131BF"/>
    <w:rsid w:val="0E9E4764"/>
    <w:rsid w:val="0EA174D3"/>
    <w:rsid w:val="0EBB45B0"/>
    <w:rsid w:val="0EDC703A"/>
    <w:rsid w:val="0EED7615"/>
    <w:rsid w:val="0EF06E32"/>
    <w:rsid w:val="0F1B5DB5"/>
    <w:rsid w:val="0F3B4AA4"/>
    <w:rsid w:val="0F5E06D2"/>
    <w:rsid w:val="0F8120BC"/>
    <w:rsid w:val="104942F3"/>
    <w:rsid w:val="10685029"/>
    <w:rsid w:val="13272F7A"/>
    <w:rsid w:val="139414E4"/>
    <w:rsid w:val="13BD35E6"/>
    <w:rsid w:val="13DF5603"/>
    <w:rsid w:val="1461070D"/>
    <w:rsid w:val="14BB24BD"/>
    <w:rsid w:val="14BE346A"/>
    <w:rsid w:val="14BF5D26"/>
    <w:rsid w:val="15275023"/>
    <w:rsid w:val="171D4419"/>
    <w:rsid w:val="175579C2"/>
    <w:rsid w:val="177249E0"/>
    <w:rsid w:val="178E60A4"/>
    <w:rsid w:val="17C20BA8"/>
    <w:rsid w:val="17C308AA"/>
    <w:rsid w:val="180513B0"/>
    <w:rsid w:val="186850D2"/>
    <w:rsid w:val="18761198"/>
    <w:rsid w:val="18A30433"/>
    <w:rsid w:val="18A312F5"/>
    <w:rsid w:val="18C8736D"/>
    <w:rsid w:val="19AE61A3"/>
    <w:rsid w:val="1A361CF4"/>
    <w:rsid w:val="1A3A7BAD"/>
    <w:rsid w:val="1A4576D8"/>
    <w:rsid w:val="1A58610F"/>
    <w:rsid w:val="1AB772D9"/>
    <w:rsid w:val="1AFC6A9A"/>
    <w:rsid w:val="1B213459"/>
    <w:rsid w:val="1B690B70"/>
    <w:rsid w:val="1B6D765C"/>
    <w:rsid w:val="1BF9122C"/>
    <w:rsid w:val="1CFA34F8"/>
    <w:rsid w:val="1D1D0F4A"/>
    <w:rsid w:val="1D226816"/>
    <w:rsid w:val="1DAF24EA"/>
    <w:rsid w:val="1DD37785"/>
    <w:rsid w:val="1E5B7F7C"/>
    <w:rsid w:val="1E672DC4"/>
    <w:rsid w:val="1E74103D"/>
    <w:rsid w:val="1EB12291"/>
    <w:rsid w:val="1F051B18"/>
    <w:rsid w:val="1F3327BA"/>
    <w:rsid w:val="1F3F1A1D"/>
    <w:rsid w:val="1F7A08D5"/>
    <w:rsid w:val="1F7C1DF0"/>
    <w:rsid w:val="1F855691"/>
    <w:rsid w:val="1FA26CB0"/>
    <w:rsid w:val="1FCF1052"/>
    <w:rsid w:val="1FD41995"/>
    <w:rsid w:val="204A32B7"/>
    <w:rsid w:val="209B13A7"/>
    <w:rsid w:val="20A95D8F"/>
    <w:rsid w:val="20CC3D5B"/>
    <w:rsid w:val="21313216"/>
    <w:rsid w:val="21987C13"/>
    <w:rsid w:val="22235254"/>
    <w:rsid w:val="22764811"/>
    <w:rsid w:val="22797953"/>
    <w:rsid w:val="22EE24C7"/>
    <w:rsid w:val="22F926DA"/>
    <w:rsid w:val="2322550C"/>
    <w:rsid w:val="24561911"/>
    <w:rsid w:val="24D40A88"/>
    <w:rsid w:val="24F40459"/>
    <w:rsid w:val="25445C0D"/>
    <w:rsid w:val="255D778F"/>
    <w:rsid w:val="26477832"/>
    <w:rsid w:val="26AE0DB6"/>
    <w:rsid w:val="26BE72FA"/>
    <w:rsid w:val="27441EF5"/>
    <w:rsid w:val="27701D9D"/>
    <w:rsid w:val="277F6CFA"/>
    <w:rsid w:val="27814EF7"/>
    <w:rsid w:val="27AD52BD"/>
    <w:rsid w:val="27BE1F3C"/>
    <w:rsid w:val="27F51A4F"/>
    <w:rsid w:val="288D78CB"/>
    <w:rsid w:val="29EE5390"/>
    <w:rsid w:val="2A2C4EE9"/>
    <w:rsid w:val="2A57208A"/>
    <w:rsid w:val="2B824D9A"/>
    <w:rsid w:val="2BD66E93"/>
    <w:rsid w:val="2BFA5278"/>
    <w:rsid w:val="2C9F3729"/>
    <w:rsid w:val="2CDB7D7D"/>
    <w:rsid w:val="2D8502F9"/>
    <w:rsid w:val="2D892B23"/>
    <w:rsid w:val="2F1228D8"/>
    <w:rsid w:val="2F1F0B51"/>
    <w:rsid w:val="2F321339"/>
    <w:rsid w:val="2F94489F"/>
    <w:rsid w:val="310151A9"/>
    <w:rsid w:val="318B6972"/>
    <w:rsid w:val="32677565"/>
    <w:rsid w:val="337573F1"/>
    <w:rsid w:val="33A11DA8"/>
    <w:rsid w:val="33BB5263"/>
    <w:rsid w:val="359061E7"/>
    <w:rsid w:val="35EF12A7"/>
    <w:rsid w:val="36607CD1"/>
    <w:rsid w:val="367E6AA5"/>
    <w:rsid w:val="36C94D6E"/>
    <w:rsid w:val="36E40CBB"/>
    <w:rsid w:val="36FA327F"/>
    <w:rsid w:val="373E6BD5"/>
    <w:rsid w:val="37DF5322"/>
    <w:rsid w:val="37F94635"/>
    <w:rsid w:val="381C0324"/>
    <w:rsid w:val="3972239A"/>
    <w:rsid w:val="399034BF"/>
    <w:rsid w:val="39D22ACC"/>
    <w:rsid w:val="39EC34A3"/>
    <w:rsid w:val="3A7D58E7"/>
    <w:rsid w:val="3A8B1E9F"/>
    <w:rsid w:val="3AC0143A"/>
    <w:rsid w:val="3AEA4709"/>
    <w:rsid w:val="3B5878C5"/>
    <w:rsid w:val="3B7235DF"/>
    <w:rsid w:val="3C2D6FA3"/>
    <w:rsid w:val="3D8940D7"/>
    <w:rsid w:val="3DA908AC"/>
    <w:rsid w:val="3DE25B22"/>
    <w:rsid w:val="3DE713D4"/>
    <w:rsid w:val="3DFA317F"/>
    <w:rsid w:val="3ED6747E"/>
    <w:rsid w:val="3EEF2486"/>
    <w:rsid w:val="3F1735F3"/>
    <w:rsid w:val="3F3423F7"/>
    <w:rsid w:val="3F794503"/>
    <w:rsid w:val="3F7A3757"/>
    <w:rsid w:val="404B79F8"/>
    <w:rsid w:val="40C160DA"/>
    <w:rsid w:val="40F24062"/>
    <w:rsid w:val="40FC0CF2"/>
    <w:rsid w:val="41032592"/>
    <w:rsid w:val="418F600A"/>
    <w:rsid w:val="41B31CF9"/>
    <w:rsid w:val="41C2018E"/>
    <w:rsid w:val="426F3B88"/>
    <w:rsid w:val="427434C5"/>
    <w:rsid w:val="42A6503A"/>
    <w:rsid w:val="441A7E0D"/>
    <w:rsid w:val="443B399B"/>
    <w:rsid w:val="44466E54"/>
    <w:rsid w:val="44850D61"/>
    <w:rsid w:val="45901F42"/>
    <w:rsid w:val="45DA1A4F"/>
    <w:rsid w:val="4612555F"/>
    <w:rsid w:val="46297978"/>
    <w:rsid w:val="464B7318"/>
    <w:rsid w:val="469A348A"/>
    <w:rsid w:val="489E62CC"/>
    <w:rsid w:val="48E62B6C"/>
    <w:rsid w:val="48F055E1"/>
    <w:rsid w:val="493354CD"/>
    <w:rsid w:val="49BE123B"/>
    <w:rsid w:val="4A69564B"/>
    <w:rsid w:val="4AD11442"/>
    <w:rsid w:val="4B49547C"/>
    <w:rsid w:val="4B6F67D8"/>
    <w:rsid w:val="4B8F4745"/>
    <w:rsid w:val="4BE551A5"/>
    <w:rsid w:val="4C0373D9"/>
    <w:rsid w:val="4C5B5467"/>
    <w:rsid w:val="4C780809"/>
    <w:rsid w:val="4CA35649"/>
    <w:rsid w:val="4CE0607F"/>
    <w:rsid w:val="4DDD0590"/>
    <w:rsid w:val="4DE22711"/>
    <w:rsid w:val="4E172B07"/>
    <w:rsid w:val="4E257ADB"/>
    <w:rsid w:val="4E2F2707"/>
    <w:rsid w:val="4E4B32B9"/>
    <w:rsid w:val="4E5401B4"/>
    <w:rsid w:val="4E5466E1"/>
    <w:rsid w:val="4EBE3A8B"/>
    <w:rsid w:val="4EC372F3"/>
    <w:rsid w:val="5018133A"/>
    <w:rsid w:val="50A218B6"/>
    <w:rsid w:val="50A43A3C"/>
    <w:rsid w:val="50B82500"/>
    <w:rsid w:val="516E1798"/>
    <w:rsid w:val="519C57C5"/>
    <w:rsid w:val="51C70EA9"/>
    <w:rsid w:val="51E8378C"/>
    <w:rsid w:val="52153FF9"/>
    <w:rsid w:val="52A42F98"/>
    <w:rsid w:val="52DA1A82"/>
    <w:rsid w:val="53EC34BC"/>
    <w:rsid w:val="549A478E"/>
    <w:rsid w:val="54B43966"/>
    <w:rsid w:val="54F14BBA"/>
    <w:rsid w:val="550541C2"/>
    <w:rsid w:val="560A5808"/>
    <w:rsid w:val="56764C4B"/>
    <w:rsid w:val="56CD0D0F"/>
    <w:rsid w:val="575907F5"/>
    <w:rsid w:val="57A31A70"/>
    <w:rsid w:val="57AF3476"/>
    <w:rsid w:val="58474AF1"/>
    <w:rsid w:val="58F033DB"/>
    <w:rsid w:val="590C445D"/>
    <w:rsid w:val="5967574D"/>
    <w:rsid w:val="597B0EF6"/>
    <w:rsid w:val="5A4E2167"/>
    <w:rsid w:val="5B1D39DF"/>
    <w:rsid w:val="5B487F38"/>
    <w:rsid w:val="5BD4669C"/>
    <w:rsid w:val="5BF07808"/>
    <w:rsid w:val="5BF22FC6"/>
    <w:rsid w:val="5C31133E"/>
    <w:rsid w:val="5C650B6F"/>
    <w:rsid w:val="5CC44887"/>
    <w:rsid w:val="5CD1707F"/>
    <w:rsid w:val="5CF000D6"/>
    <w:rsid w:val="5D5932FD"/>
    <w:rsid w:val="5D6A1FF5"/>
    <w:rsid w:val="5D9A427D"/>
    <w:rsid w:val="5E1779DD"/>
    <w:rsid w:val="5E1F70B7"/>
    <w:rsid w:val="5E423AFE"/>
    <w:rsid w:val="5E856373"/>
    <w:rsid w:val="600B4FBD"/>
    <w:rsid w:val="606A17B2"/>
    <w:rsid w:val="606A72AE"/>
    <w:rsid w:val="60724C1A"/>
    <w:rsid w:val="60892764"/>
    <w:rsid w:val="60A11BA6"/>
    <w:rsid w:val="60A32AE1"/>
    <w:rsid w:val="61A556D5"/>
    <w:rsid w:val="61B41449"/>
    <w:rsid w:val="61E11B13"/>
    <w:rsid w:val="61E62ADF"/>
    <w:rsid w:val="62205E77"/>
    <w:rsid w:val="62C95A86"/>
    <w:rsid w:val="62D6719E"/>
    <w:rsid w:val="632B573B"/>
    <w:rsid w:val="63DE31C5"/>
    <w:rsid w:val="63E15DFA"/>
    <w:rsid w:val="643979E4"/>
    <w:rsid w:val="64A90948"/>
    <w:rsid w:val="64BE2D8D"/>
    <w:rsid w:val="64CD05F6"/>
    <w:rsid w:val="65D33DA4"/>
    <w:rsid w:val="66BB5028"/>
    <w:rsid w:val="66F3043C"/>
    <w:rsid w:val="67175344"/>
    <w:rsid w:val="67370FEC"/>
    <w:rsid w:val="678B49FB"/>
    <w:rsid w:val="679B297B"/>
    <w:rsid w:val="67E20393"/>
    <w:rsid w:val="680E566D"/>
    <w:rsid w:val="68694610"/>
    <w:rsid w:val="68880F3A"/>
    <w:rsid w:val="69166546"/>
    <w:rsid w:val="697D4817"/>
    <w:rsid w:val="69BB70A1"/>
    <w:rsid w:val="69C91FDD"/>
    <w:rsid w:val="69E228CC"/>
    <w:rsid w:val="6A130CD7"/>
    <w:rsid w:val="6A1E27E4"/>
    <w:rsid w:val="6A1F0D5E"/>
    <w:rsid w:val="6B615D5C"/>
    <w:rsid w:val="6B6C5B5D"/>
    <w:rsid w:val="6BAC3191"/>
    <w:rsid w:val="6BB43DF4"/>
    <w:rsid w:val="6BE7241B"/>
    <w:rsid w:val="6C054650"/>
    <w:rsid w:val="6C865790"/>
    <w:rsid w:val="6C8D40DA"/>
    <w:rsid w:val="6DC70C67"/>
    <w:rsid w:val="6E5341E9"/>
    <w:rsid w:val="6E7D0E15"/>
    <w:rsid w:val="6F241291"/>
    <w:rsid w:val="701E38BA"/>
    <w:rsid w:val="702568F1"/>
    <w:rsid w:val="70341917"/>
    <w:rsid w:val="705362D1"/>
    <w:rsid w:val="70747AF5"/>
    <w:rsid w:val="70757CA8"/>
    <w:rsid w:val="70981F36"/>
    <w:rsid w:val="70C21259"/>
    <w:rsid w:val="70F57389"/>
    <w:rsid w:val="71AD1673"/>
    <w:rsid w:val="72EB27F1"/>
    <w:rsid w:val="72F268BD"/>
    <w:rsid w:val="731109BF"/>
    <w:rsid w:val="7408625E"/>
    <w:rsid w:val="740B1863"/>
    <w:rsid w:val="74145D78"/>
    <w:rsid w:val="742F3F2A"/>
    <w:rsid w:val="74402CEE"/>
    <w:rsid w:val="751C3136"/>
    <w:rsid w:val="756B1EDB"/>
    <w:rsid w:val="75833863"/>
    <w:rsid w:val="76C60992"/>
    <w:rsid w:val="770C6FDB"/>
    <w:rsid w:val="7731279D"/>
    <w:rsid w:val="7771703D"/>
    <w:rsid w:val="77AE3AD8"/>
    <w:rsid w:val="77F7187F"/>
    <w:rsid w:val="78C338C8"/>
    <w:rsid w:val="78FD6DDA"/>
    <w:rsid w:val="791F1447"/>
    <w:rsid w:val="79B53B59"/>
    <w:rsid w:val="7A9B107F"/>
    <w:rsid w:val="7AD4441D"/>
    <w:rsid w:val="7BB87930"/>
    <w:rsid w:val="7BC15F99"/>
    <w:rsid w:val="7C120DEF"/>
    <w:rsid w:val="7C6A7443"/>
    <w:rsid w:val="7CCF0A8E"/>
    <w:rsid w:val="7D95306A"/>
    <w:rsid w:val="7DA0067C"/>
    <w:rsid w:val="7DA16716"/>
    <w:rsid w:val="7DA805DC"/>
    <w:rsid w:val="7DC76560"/>
    <w:rsid w:val="7DCC76C3"/>
    <w:rsid w:val="7E307FB9"/>
    <w:rsid w:val="7E8F2BCB"/>
    <w:rsid w:val="7EA83C8C"/>
    <w:rsid w:val="7ECA59B1"/>
    <w:rsid w:val="7F4D5ECF"/>
    <w:rsid w:val="7F941D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99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">
    <w:name w:val="目录 11"/>
    <w:next w:val="1"/>
    <w:qFormat/>
    <w:uiPriority w:val="0"/>
    <w:pPr>
      <w:wordWrap w:val="0"/>
      <w:jc w:val="both"/>
    </w:pPr>
    <w:rPr>
      <w:rFonts w:ascii="Calibri" w:hAnsi="Calibri" w:eastAsia="宋体" w:cs="Times New Roman"/>
      <w:sz w:val="21"/>
      <w:szCs w:val="22"/>
      <w:lang w:val="en-US" w:eastAsia="zh-CN" w:bidi="ar-SA"/>
    </w:rPr>
  </w:style>
  <w:style w:type="paragraph" w:styleId="4">
    <w:name w:val="Body Text Indent"/>
    <w:basedOn w:val="1"/>
    <w:qFormat/>
    <w:uiPriority w:val="0"/>
    <w:pPr>
      <w:spacing w:after="120"/>
      <w:ind w:left="20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Normal (Web)"/>
    <w:basedOn w:val="1"/>
    <w:qFormat/>
    <w:uiPriority w:val="0"/>
    <w:rPr>
      <w:sz w:val="24"/>
    </w:rPr>
  </w:style>
  <w:style w:type="paragraph" w:styleId="9">
    <w:name w:val="Body Text First Indent 2"/>
    <w:basedOn w:val="4"/>
    <w:qFormat/>
    <w:uiPriority w:val="0"/>
    <w:pPr>
      <w:widowControl w:val="0"/>
      <w:tabs>
        <w:tab w:val="left" w:pos="0"/>
        <w:tab w:val="left" w:pos="284"/>
        <w:tab w:val="left" w:pos="720"/>
      </w:tabs>
      <w:spacing w:line="560" w:lineRule="exact"/>
      <w:ind w:firstLine="20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customStyle="1" w:styleId="12">
    <w:name w:val="页眉 字符"/>
    <w:basedOn w:val="11"/>
    <w:link w:val="6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3">
    <w:name w:val="普通(网站) Char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4">
    <w:name w:val="列出段落1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3259</Words>
  <Characters>3424</Characters>
  <Lines>3</Lines>
  <Paragraphs>1</Paragraphs>
  <TotalTime>0</TotalTime>
  <ScaleCrop>false</ScaleCrop>
  <LinksUpToDate>false</LinksUpToDate>
  <CharactersWithSpaces>3431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2024-01-18T03:00:00Z</dcterms:created>
  <dc:creator>Administrator</dc:creator>
  <cp:lastModifiedBy>WPS_1716295067</cp:lastModifiedBy>
  <cp:lastPrinted>2025-01-16T06:24:00Z</cp:lastPrinted>
  <dcterms:modified xsi:type="dcterms:W3CDTF">2025-09-09T07:05:19Z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eyJoZGlkIjoiMDJmNTllNzQyZWZiN2UxZjA3NjZmZjk0Nzg2YTk2OTciLCJ1c2VySWQiOiIxNjAyMTQ2NjE1In0=</vt:lpwstr>
  </property>
  <property fmtid="{D5CDD505-2E9C-101B-9397-08002B2CF9AE}" pid="4" name="ICV">
    <vt:lpwstr>86B06317E4614CC1AA02BB49FB006621_12</vt:lpwstr>
  </property>
</Properties>
</file>